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/>
        <w:jc w:val="center"/>
        <w:rPr>
          <w:rFonts w:cs="Arial"/>
          <w:b/>
          <w:bCs/>
          <w:color w:val="000000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0"/>
          <w:sz w:val="22"/>
          <w:szCs w:val="22"/>
        </w:rPr>
        <w:t>MANIFESTAÇÃO DE INTERESSE Nº 4</w:t>
      </w:r>
      <w:r>
        <w:rPr>
          <w:rFonts w:cs="Arial"/>
          <w:b/>
          <w:bCs/>
          <w:color w:val="000000"/>
          <w:spacing w:val="0"/>
          <w:sz w:val="22"/>
          <w:szCs w:val="22"/>
        </w:rPr>
        <w:t>9</w:t>
      </w:r>
      <w:r>
        <w:rPr>
          <w:rFonts w:cs="Arial"/>
          <w:b/>
          <w:bCs/>
          <w:color w:val="000000"/>
          <w:spacing w:val="0"/>
          <w:sz w:val="22"/>
          <w:szCs w:val="22"/>
        </w:rPr>
        <w:t>/2026</w:t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firstLine="1417" w:left="0" w:right="0"/>
        <w:jc w:val="both"/>
        <w:rPr>
          <w:sz w:val="22"/>
          <w:szCs w:val="22"/>
        </w:rPr>
      </w:pP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>A</w:t>
      </w:r>
      <w:r>
        <w:rPr>
          <w:rFonts w:cs="Arial"/>
          <w:b/>
          <w:bCs/>
          <w:color w:val="000000"/>
          <w:spacing w:val="0"/>
          <w:sz w:val="22"/>
          <w:szCs w:val="22"/>
        </w:rPr>
        <w:t xml:space="preserve"> Câmara de Vereadores de São Borja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, comunica que tem interesse na 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>contratação de empresa para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prestação de serviço 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>de manutenção de elevador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conforme a seguinte tabela abaixo:</w:t>
      </w:r>
    </w:p>
    <w:tbl>
      <w:tblPr>
        <w:tblW w:w="8738" w:type="dxa"/>
        <w:jc w:val="left"/>
        <w:tblInd w:w="182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900"/>
        <w:gridCol w:w="5726"/>
        <w:gridCol w:w="2112"/>
      </w:tblGrid>
      <w:tr>
        <w:trPr>
          <w:trHeight w:val="309" w:hRule="atLeast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360" w:before="26" w:after="0"/>
              <w:ind w:hanging="0" w:left="3" w:right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Item</w:t>
            </w: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360" w:before="26" w:after="0"/>
              <w:ind w:hanging="0" w:left="3" w:right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Descrição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360" w:before="114" w:after="0"/>
              <w:ind w:hanging="0" w:left="3" w:right="139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Quantidade</w:t>
            </w:r>
          </w:p>
        </w:tc>
      </w:tr>
      <w:tr>
        <w:trPr>
          <w:trHeight w:val="961" w:hRule="atLeast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360" w:before="26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pacing w:lineRule="auto" w:line="360" w:before="26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01</w:t>
            </w: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360" w:before="0" w:after="0"/>
              <w:ind w:hanging="0" w:right="0"/>
              <w:jc w:val="both"/>
              <w:rPr>
                <w:rFonts w:ascii="Arial" w:hAnsi="Arial" w:cs="ArialMT"/>
                <w:sz w:val="20"/>
                <w:szCs w:val="20"/>
              </w:rPr>
            </w:pPr>
            <w:r>
              <w:rPr>
                <w:rFonts w:eastAsia="Arial MT" w:cs="ArialMT" w:ascii="Arial" w:hAnsi="Arial"/>
                <w:color w:val="auto"/>
                <w:kern w:val="0"/>
                <w:sz w:val="20"/>
                <w:szCs w:val="20"/>
                <w:u w:val="none"/>
                <w:lang w:val="pt-PT" w:eastAsia="en-US" w:bidi="ar-SA"/>
              </w:rPr>
              <w:t>Prestação de serviços técnicos especializado de manutenção preventiva, corretiva para  um elevador com capacidade de 8 pessoas ou 600kg localizado no prédio de dois andares da Câmara de Vereadores de São Borja – RS.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360" w:before="52" w:after="0"/>
              <w:ind w:hanging="0" w:left="0" w:right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 meses</w:t>
            </w:r>
          </w:p>
        </w:tc>
      </w:tr>
    </w:tbl>
    <w:p>
      <w:pPr>
        <w:pStyle w:val="Normal"/>
        <w:spacing w:lineRule="auto" w:line="360"/>
        <w:jc w:val="both"/>
        <w:rPr>
          <w:rFonts w:cs="Arial"/>
          <w:b/>
          <w:bCs/>
          <w:color w:val="000000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0"/>
          <w:sz w:val="22"/>
          <w:szCs w:val="22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cs="Arial"/>
          <w:b w:val="false"/>
          <w:bCs w:val="false"/>
          <w:color w:val="000000"/>
          <w:spacing w:val="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firstLine="1417" w:left="0" w:right="0"/>
        <w:jc w:val="both"/>
        <w:rPr/>
      </w:pP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A contratação se dará por Dispensa de Licitação. Após o recebimento a </w:t>
      </w:r>
      <w:r>
        <w:rPr>
          <w:rFonts w:cs="Arial"/>
          <w:b/>
          <w:bCs/>
          <w:color w:val="000000"/>
          <w:spacing w:val="0"/>
          <w:sz w:val="22"/>
          <w:szCs w:val="22"/>
        </w:rPr>
        <w:t>Câmara de Vereadores de São Borja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terá o prazo de até 30 (dias) para efetuação do pagamento mediante Empenho.</w:t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firstLine="1417" w:left="0" w:right="0"/>
        <w:jc w:val="both"/>
        <w:rPr/>
      </w:pP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As propostas deverão ser enviadas </w:t>
      </w:r>
      <w:r>
        <w:rPr>
          <w:rFonts w:cs="Arial"/>
          <w:b/>
          <w:bCs/>
          <w:color w:val="000000"/>
          <w:spacing w:val="0"/>
          <w:sz w:val="22"/>
          <w:szCs w:val="22"/>
        </w:rPr>
        <w:t>de preferência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para o e-mail:  </w:t>
      </w:r>
      <w:hyperlink r:id="rId2">
        <w:r>
          <w:rPr>
            <w:rStyle w:val="ListLabel1"/>
            <w:rFonts w:cs="Arial"/>
            <w:b w:val="false"/>
            <w:bCs w:val="false"/>
            <w:color w:val="000000"/>
            <w:spacing w:val="0"/>
            <w:sz w:val="22"/>
            <w:szCs w:val="22"/>
            <w:u w:val="single"/>
          </w:rPr>
          <w:t>licita@camarasaoborja.rs.gov.br</w:t>
        </w:r>
      </w:hyperlink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ou entregues até dia </w:t>
      </w:r>
      <w:r>
        <w:rPr>
          <w:rFonts w:cs="Arial"/>
          <w:b/>
          <w:bCs/>
          <w:color w:val="000000"/>
          <w:spacing w:val="0"/>
          <w:sz w:val="22"/>
          <w:szCs w:val="22"/>
        </w:rPr>
        <w:t>19</w:t>
      </w:r>
      <w:r>
        <w:rPr>
          <w:rFonts w:cs="Arial"/>
          <w:b/>
          <w:bCs/>
          <w:color w:val="000000"/>
          <w:spacing w:val="0"/>
          <w:sz w:val="22"/>
          <w:szCs w:val="22"/>
        </w:rPr>
        <w:t xml:space="preserve"> de agosto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</w:t>
      </w:r>
      <w:r>
        <w:rPr>
          <w:rFonts w:cs="Arial"/>
          <w:b/>
          <w:bCs/>
          <w:color w:val="000000"/>
          <w:spacing w:val="0"/>
          <w:sz w:val="22"/>
          <w:szCs w:val="22"/>
        </w:rPr>
        <w:t>de 2026,</w:t>
      </w:r>
      <w:r>
        <w:rPr>
          <w:rFonts w:cs="Arial"/>
          <w:b w:val="false"/>
          <w:bCs w:val="false"/>
          <w:color w:val="000000"/>
          <w:spacing w:val="0"/>
          <w:sz w:val="22"/>
          <w:szCs w:val="22"/>
        </w:rPr>
        <w:t xml:space="preserve"> na Câmara de Vereadores de São Borja no horário entre 8h as 12h, no setor de compras, entregues ao Agente de Contratação ou integrante da equipe de apoio.</w:t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firstLine="1417" w:left="0" w:right="0"/>
        <w:jc w:val="both"/>
        <w:rPr/>
      </w:pPr>
      <w:r>
        <w:rPr>
          <w:sz w:val="22"/>
          <w:szCs w:val="22"/>
        </w:rPr>
        <w:t xml:space="preserve">Outras informações através do fone (55) 3431-0170 ou pelo endereço: </w:t>
      </w:r>
      <w:hyperlink r:id="rId3">
        <w:r>
          <w:rPr>
            <w:rStyle w:val="ListLabel2"/>
            <w:color w:val="000000"/>
            <w:sz w:val="22"/>
            <w:szCs w:val="22"/>
            <w:u w:val="single"/>
          </w:rPr>
          <w:t>https://saoborja.rs.leg.br</w:t>
        </w:r>
      </w:hyperlink>
      <w:r>
        <w:rPr>
          <w:sz w:val="22"/>
          <w:szCs w:val="22"/>
        </w:rPr>
        <w:t xml:space="preserve"> no ícone  ”LICITAÇÕES”.</w:t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São Borja, </w:t>
      </w:r>
      <w:r>
        <w:rPr>
          <w:sz w:val="22"/>
          <w:szCs w:val="22"/>
        </w:rPr>
        <w:t>14</w:t>
      </w:r>
      <w:r>
        <w:rPr>
          <w:sz w:val="22"/>
          <w:szCs w:val="22"/>
        </w:rPr>
        <w:t xml:space="preserve"> de agosto de 2026.</w:t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hanging="0" w:left="0" w:right="0"/>
        <w:jc w:val="center"/>
        <w:rPr>
          <w:rFonts w:cs="Arial"/>
          <w:b/>
          <w:bCs/>
          <w:color w:val="000000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hanging="0" w:left="0" w:right="0"/>
        <w:jc w:val="center"/>
        <w:rPr>
          <w:rFonts w:cs="Arial"/>
          <w:b/>
          <w:bCs/>
          <w:color w:val="000000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hanging="0" w:left="0" w:right="0"/>
        <w:jc w:val="center"/>
        <w:rPr>
          <w:rFonts w:cs="Arial"/>
          <w:b/>
          <w:bCs/>
          <w:color w:val="000000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360" w:before="0" w:after="0"/>
        <w:ind w:hanging="0" w:left="0" w:right="0"/>
        <w:jc w:val="center"/>
        <w:rPr>
          <w:rFonts w:cs="Arial"/>
          <w:b/>
          <w:bCs/>
          <w:color w:val="000000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0"/>
          <w:sz w:val="22"/>
          <w:szCs w:val="22"/>
        </w:rPr>
        <w:t xml:space="preserve">JOSÉ PAULINO DE P. MEDEIROS 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1134" w:gutter="0" w:header="426" w:top="851" w:footer="1" w:bottom="14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eastAsia="Arial" w:cs="Arial"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  <w:p>
    <w:pPr>
      <w:pStyle w:val="Footer"/>
      <w:jc w:val="center"/>
      <w:rPr/>
    </w:pPr>
    <w:r>
      <w:rPr>
        <w:rFonts w:eastAsia="Arial" w:cs="Arial" w:ascii="Arial" w:hAnsi="Arial"/>
        <w:b/>
        <w:sz w:val="20"/>
        <w:szCs w:val="20"/>
      </w:rPr>
      <w:t>“</w:t>
    </w:r>
    <w:r>
      <w:rPr>
        <w:rFonts w:cs="Arial" w:ascii="Arial" w:hAnsi="Arial"/>
        <w:b/>
        <w:sz w:val="20"/>
        <w:szCs w:val="20"/>
      </w:rPr>
      <w:t>São Borja – Terra dos Presidentes.”</w:t>
    </w:r>
  </w:p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eastAsia="Arial" w:cs="Arial"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  <w:p>
    <w:pPr>
      <w:pStyle w:val="Footer"/>
      <w:jc w:val="center"/>
      <w:rPr/>
    </w:pPr>
    <w:r>
      <w:rPr>
        <w:rFonts w:eastAsia="Arial" w:cs="Arial" w:ascii="Arial" w:hAnsi="Arial"/>
        <w:b/>
        <w:sz w:val="20"/>
        <w:szCs w:val="20"/>
      </w:rPr>
      <w:t>“</w:t>
    </w:r>
    <w:r>
      <w:rPr>
        <w:rFonts w:cs="Arial" w:ascii="Arial" w:hAnsi="Arial"/>
        <w:b/>
        <w:sz w:val="20"/>
        <w:szCs w:val="20"/>
      </w:rPr>
      <w:t>São Borja – Terra dos Presidentes.”</w:t>
    </w:r>
  </w:p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object w:dxaOrig="3255" w:dyaOrig="3735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width:49.6pt;height:48.15pt;mso-wrap-distance-right:0pt" filled="t" fillcolor="#FFFFFF" o:ole="">
          <v:imagedata r:id="rId2" o:title=""/>
        </v:shape>
        <o:OLEObject Type="Embed" ProgID="" ShapeID="ole_rId1" DrawAspect="Content" ObjectID="_162968872" r:id="rId1"/>
      </w:objec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  <w:t>ESTADO DO RIO GRANDE DO SUL</w: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  <w:t>CÂMARA DE VEREADORES DE SÃO BORJA</w: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  <w:t>EDIFÍCIO PRESIDENTE GETÚLIO DORNELLES VARGAS</w: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object w:dxaOrig="3255" w:dyaOrig="3735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width:49.6pt;height:48.15pt;mso-wrap-distance-right:0pt" filled="t" fillcolor="#FFFFFF" o:ole="">
          <v:imagedata r:id="rId2" o:title=""/>
        </v:shape>
        <o:OLEObject Type="Embed" ProgID="" ShapeID="ole_rId1" DrawAspect="Content" ObjectID="_446672138" r:id="rId1"/>
      </w:objec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  <w:t>ESTADO DO RIO GRANDE DO SUL</w: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  <w:t>CÂMARA DE VEREADORES DE SÃO BORJA</w: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  <w:t>EDIFÍCIO PRESIDENTE GETÚLIO DORNELLES VARGAS</w:t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</w:r>
  </w:p>
  <w:p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val="bestFit" w:percent="119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0" w:after="0"/>
      <w:ind w:firstLine="2124" w:left="0" w:right="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i/>
      <w:iCs/>
      <w:sz w:val="28"/>
      <w:lang w:val="en-US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b/>
      <w:bCs/>
      <w:i/>
      <w:iCs/>
      <w:sz w:val="28"/>
      <w:lang w:val="en-U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Fontepargpadro1">
    <w:name w:val="Fonte parág. padrão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4"/>
    </w:rPr>
  </w:style>
  <w:style w:type="paragraph" w:styleId="List">
    <w:name w:val="List"/>
    <w:basedOn w:val="BodyText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Cabealhoerodap10">
    <w:name w:val="Cabeçalho e rodapé10"/>
    <w:basedOn w:val="Normal"/>
    <w:qFormat/>
    <w:pPr/>
    <w:rPr/>
  </w:style>
  <w:style w:type="paragraph" w:styleId="Cabealhoerodap11">
    <w:name w:val="Cabeçalho e rodapé11"/>
    <w:basedOn w:val="Normal"/>
    <w:qFormat/>
    <w:pPr/>
    <w:rPr/>
  </w:style>
  <w:style w:type="paragraph" w:styleId="Cabealhoerodap12">
    <w:name w:val="Cabeçalho e rodapé12"/>
    <w:basedOn w:val="Normal"/>
    <w:qFormat/>
    <w:pPr/>
    <w:rPr/>
  </w:style>
  <w:style w:type="paragraph" w:styleId="Cabealhoerodap13">
    <w:name w:val="Cabeçalho e rodapé13"/>
    <w:basedOn w:val="Normal"/>
    <w:qFormat/>
    <w:pPr/>
    <w:rPr/>
  </w:style>
  <w:style w:type="paragraph" w:styleId="Cabealhoerodap14">
    <w:name w:val="Cabeçalho e rodapé14"/>
    <w:basedOn w:val="Normal"/>
    <w:qFormat/>
    <w:pPr/>
    <w:rPr/>
  </w:style>
  <w:style w:type="paragraph" w:styleId="Cabealhoerodap15">
    <w:name w:val="Cabeçalho e rodapé15"/>
    <w:basedOn w:val="Normal"/>
    <w:qFormat/>
    <w:pPr/>
    <w:rPr/>
  </w:style>
  <w:style w:type="paragraph" w:styleId="Cabealhoerodap16">
    <w:name w:val="Cabeçalho e rodapé16"/>
    <w:basedOn w:val="Normal"/>
    <w:qFormat/>
    <w:pPr/>
    <w:rPr/>
  </w:style>
  <w:style w:type="paragraph" w:styleId="Cabealhoerodap17">
    <w:name w:val="Cabeçalho e rodapé17"/>
    <w:basedOn w:val="Normal"/>
    <w:qFormat/>
    <w:pPr/>
    <w:rPr/>
  </w:style>
  <w:style w:type="paragraph" w:styleId="Cabealhoerodap18">
    <w:name w:val="Cabeçalho e rodapé18"/>
    <w:basedOn w:val="Normal"/>
    <w:qFormat/>
    <w:pPr/>
    <w:rPr/>
  </w:style>
  <w:style w:type="paragraph" w:styleId="Cabealhoerodap19">
    <w:name w:val="Cabeçalho e rodapé19"/>
    <w:basedOn w:val="Normal"/>
    <w:qFormat/>
    <w:pPr/>
    <w:rPr/>
  </w:style>
  <w:style w:type="paragraph" w:styleId="Cabealhoerodap20">
    <w:name w:val="Cabeçalho e rodapé20"/>
    <w:basedOn w:val="Normal"/>
    <w:qFormat/>
    <w:pPr/>
    <w:rPr/>
  </w:style>
  <w:style w:type="paragraph" w:styleId="Cabealhoerodap21">
    <w:name w:val="Cabeçalho e rodapé21"/>
    <w:basedOn w:val="Normal"/>
    <w:qFormat/>
    <w:pPr/>
    <w:rPr/>
  </w:style>
  <w:style w:type="paragraph" w:styleId="Cabealhoerodap22">
    <w:name w:val="Cabeçalho e rodapé22"/>
    <w:basedOn w:val="Normal"/>
    <w:qFormat/>
    <w:pPr/>
    <w:rPr/>
  </w:style>
  <w:style w:type="paragraph" w:styleId="Cabealhoerodap23">
    <w:name w:val="Cabeçalho e rodapé23"/>
    <w:basedOn w:val="Normal"/>
    <w:qFormat/>
    <w:pPr/>
    <w:rPr/>
  </w:style>
  <w:style w:type="paragraph" w:styleId="Cabealhoerodap24">
    <w:name w:val="Cabeçalho e rodapé24"/>
    <w:basedOn w:val="Normal"/>
    <w:qFormat/>
    <w:pPr/>
    <w:rPr/>
  </w:style>
  <w:style w:type="paragraph" w:styleId="Cabealhoerodap25">
    <w:name w:val="Cabeçalho e rodapé25"/>
    <w:basedOn w:val="Normal"/>
    <w:qFormat/>
    <w:pPr/>
    <w:rPr/>
  </w:style>
  <w:style w:type="paragraph" w:styleId="Cabealhoerodap26">
    <w:name w:val="Cabeçalho e rodapé26"/>
    <w:basedOn w:val="Normal"/>
    <w:qFormat/>
    <w:pPr/>
    <w:rPr/>
  </w:style>
  <w:style w:type="paragraph" w:styleId="Cabealhoerodap27">
    <w:name w:val="Cabeçalho e rodapé27"/>
    <w:basedOn w:val="Normal"/>
    <w:qFormat/>
    <w:pPr/>
    <w:rPr/>
  </w:style>
  <w:style w:type="paragraph" w:styleId="Cabealhoerodap28">
    <w:name w:val="Cabeçalho e rodapé28"/>
    <w:basedOn w:val="Normal"/>
    <w:qFormat/>
    <w:pPr/>
    <w:rPr/>
  </w:style>
  <w:style w:type="paragraph" w:styleId="Cabealhoerodap29">
    <w:name w:val="Cabeçalho e rodapé29"/>
    <w:basedOn w:val="Normal"/>
    <w:qFormat/>
    <w:pPr/>
    <w:rPr/>
  </w:style>
  <w:style w:type="paragraph" w:styleId="Cabealhoerodap30">
    <w:name w:val="Cabeçalho e rodapé30"/>
    <w:basedOn w:val="Normal"/>
    <w:qFormat/>
    <w:pPr/>
    <w:rPr/>
  </w:style>
  <w:style w:type="paragraph" w:styleId="Cabealhoerodap31">
    <w:name w:val="Cabeçalho e rodapé31"/>
    <w:basedOn w:val="Normal"/>
    <w:qFormat/>
    <w:pPr/>
    <w:rPr/>
  </w:style>
  <w:style w:type="paragraph" w:styleId="Cabealhoerodap32">
    <w:name w:val="Cabeçalho e rodapé32"/>
    <w:basedOn w:val="Normal"/>
    <w:qFormat/>
    <w:pPr/>
    <w:rPr/>
  </w:style>
  <w:style w:type="paragraph" w:styleId="Cabealhoerodap33">
    <w:name w:val="Cabeçalho e rodapé33"/>
    <w:basedOn w:val="Normal"/>
    <w:qFormat/>
    <w:pPr/>
    <w:rPr/>
  </w:style>
  <w:style w:type="paragraph" w:styleId="Cabealhoerodap34">
    <w:name w:val="Cabeçalho e rodapé34"/>
    <w:basedOn w:val="Normal"/>
    <w:qFormat/>
    <w:pPr/>
    <w:rPr/>
  </w:style>
  <w:style w:type="paragraph" w:styleId="Cabealhoerodap35">
    <w:name w:val="Cabeçalho e rodapé35"/>
    <w:basedOn w:val="Normal"/>
    <w:qFormat/>
    <w:pPr/>
    <w:rPr/>
  </w:style>
  <w:style w:type="paragraph" w:styleId="Cabealhoerodap36">
    <w:name w:val="Cabeçalho e rodapé36"/>
    <w:basedOn w:val="Normal"/>
    <w:qFormat/>
    <w:pPr/>
    <w:rPr/>
  </w:style>
  <w:style w:type="paragraph" w:styleId="Cabealhoerodap37">
    <w:name w:val="Cabeçalho e rodapé37"/>
    <w:basedOn w:val="Normal"/>
    <w:qFormat/>
    <w:pPr/>
    <w:rPr/>
  </w:style>
  <w:style w:type="paragraph" w:styleId="Cabealhoerodap38">
    <w:name w:val="Cabeçalho e rodapé38"/>
    <w:basedOn w:val="Normal"/>
    <w:qFormat/>
    <w:pPr/>
    <w:rPr/>
  </w:style>
  <w:style w:type="paragraph" w:styleId="Cabealhoerodap39">
    <w:name w:val="Cabeçalho e rodapé39"/>
    <w:basedOn w:val="Normal"/>
    <w:qFormat/>
    <w:pPr/>
    <w:rPr/>
  </w:style>
  <w:style w:type="paragraph" w:styleId="Cabealhoerodap40">
    <w:name w:val="Cabeçalho e rodapé40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Ata">
    <w:name w:val="Ata"/>
    <w:basedOn w:val="Normal"/>
    <w:qFormat/>
    <w:pPr>
      <w:jc w:val="both"/>
    </w:pPr>
    <w:rPr>
      <w:szCs w:val="24"/>
    </w:rPr>
  </w:style>
  <w:style w:type="paragraph" w:styleId="Recuodecorpodetexto2">
    <w:name w:val="Recuo de corpo de texto 2"/>
    <w:basedOn w:val="Normal"/>
    <w:qFormat/>
    <w:pPr>
      <w:spacing w:lineRule="auto" w:line="480" w:before="0" w:after="120"/>
      <w:ind w:hanging="0" w:left="283" w:right="0"/>
    </w:pPr>
    <w:rPr/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spacing w:before="99" w:after="0"/>
      <w:ind w:hanging="0" w:left="3" w:right="0"/>
      <w:jc w:val="center"/>
    </w:pPr>
    <w:rPr>
      <w:rFonts w:ascii="Arial MT" w:hAnsi="Arial MT" w:eastAsia="Arial MT" w:cs="Arial MT"/>
      <w:lang w:val="pt-PT" w:eastAsia="en-US" w:bidi="ar-SA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NSimSun" w:cs="Arial"/>
      <w:color w:val="000000"/>
      <w:kern w:val="0"/>
      <w:sz w:val="24"/>
      <w:szCs w:val="24"/>
      <w:lang w:val="pt-BR" w:eastAsia="zh-CN" w:bidi="hi-IN"/>
    </w:rPr>
  </w:style>
  <w:style w:type="paragraph" w:styleId="Cabealhoerodap48">
    <w:name w:val="Cabeçalho e rodapé48"/>
    <w:basedOn w:val="Normal"/>
    <w:qFormat/>
    <w:pPr/>
    <w:rPr/>
  </w:style>
  <w:style w:type="paragraph" w:styleId="Cabealhoerodap47">
    <w:name w:val="Cabeçalho e rodapé47"/>
    <w:basedOn w:val="Normal"/>
    <w:qFormat/>
    <w:pPr/>
    <w:rPr/>
  </w:style>
  <w:style w:type="paragraph" w:styleId="Cabealhoerodap46">
    <w:name w:val="Cabeçalho e rodapé46"/>
    <w:basedOn w:val="Normal"/>
    <w:qFormat/>
    <w:pPr/>
    <w:rPr/>
  </w:style>
  <w:style w:type="paragraph" w:styleId="Cabealhoerodap45">
    <w:name w:val="Cabeçalho e rodapé45"/>
    <w:basedOn w:val="Normal"/>
    <w:qFormat/>
    <w:pPr/>
    <w:rPr/>
  </w:style>
  <w:style w:type="paragraph" w:styleId="Cabealhoerodap44">
    <w:name w:val="Cabeçalho e rodapé44"/>
    <w:basedOn w:val="Normal"/>
    <w:qFormat/>
    <w:pPr/>
    <w:rPr/>
  </w:style>
  <w:style w:type="paragraph" w:styleId="Cabealhoerodap43">
    <w:name w:val="Cabeçalho e rodapé43"/>
    <w:basedOn w:val="Normal"/>
    <w:qFormat/>
    <w:pPr/>
    <w:rPr/>
  </w:style>
  <w:style w:type="paragraph" w:styleId="Cabealhoerodap42">
    <w:name w:val="Cabeçalho e rodapé42"/>
    <w:basedOn w:val="Normal"/>
    <w:qFormat/>
    <w:pPr/>
    <w:rPr/>
  </w:style>
  <w:style w:type="paragraph" w:styleId="Cabealhoerodap41">
    <w:name w:val="Cabeçalho e rodapé41"/>
    <w:basedOn w:val="Normal"/>
    <w:qFormat/>
    <w:pPr/>
    <w:rPr/>
  </w:style>
  <w:style w:type="paragraph" w:styleId="Cabealhoerodap401">
    <w:name w:val="Cabeçalho e rodapé401"/>
    <w:basedOn w:val="Normal"/>
    <w:qFormat/>
    <w:pPr/>
    <w:rPr/>
  </w:style>
  <w:style w:type="paragraph" w:styleId="Cabealhoerodap391">
    <w:name w:val="Cabeçalho e rodapé391"/>
    <w:basedOn w:val="Normal"/>
    <w:qFormat/>
    <w:pPr/>
    <w:rPr/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@camarasaoborja.rs.gov.br" TargetMode="External"/><Relationship Id="rId3" Type="http://schemas.openxmlformats.org/officeDocument/2006/relationships/hyperlink" Target="https://saoborja.rs.leg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oleObject" Target="embeddings/oleObject2.bin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783</TotalTime>
  <Application>LibreOffice/24.8.0.3$Windows_X86_64 LibreOffice_project/0bdf1299c94fe897b119f97f3c613e9dca6be583</Application>
  <AppVersion>15.0000</AppVersion>
  <Pages>1</Pages>
  <Words>209</Words>
  <Characters>1116</Characters>
  <CharactersWithSpaces>1309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2026-03-26T11:18:00Z</dcterms:created>
  <dc:creator/>
  <dc:description/>
  <dc:language>pt-BR</dc:language>
  <cp:lastModifiedBy/>
  <cp:lastPrinted>2026-08-14T11:04:37Z</cp:lastPrinted>
  <dcterms:modified xsi:type="dcterms:W3CDTF">2026-08-14T11:06:14Z</dcterms:modified>
  <cp:revision>97</cp:revision>
  <dc:subject/>
  <dc:title>Of. nº 809/97              ___São  Borja-RS, 11 de Junho de 1997.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