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 xml:space="preserve">Aviso de </w:t>
      </w:r>
    </w:p>
    <w:p>
      <w:pPr>
        <w:pStyle w:val="Normal"/>
        <w:jc w:val="center"/>
        <w:rPr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DISPENSA </w:t>
      </w:r>
    </w:p>
    <w:p>
      <w:pPr>
        <w:pStyle w:val="Normal"/>
        <w:jc w:val="center"/>
        <w:rPr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DE LICITAÇÃO</w:t>
      </w:r>
    </w:p>
    <w:p>
      <w:pPr>
        <w:pStyle w:val="Normal"/>
        <w:jc w:val="center"/>
        <w:rPr>
          <w:sz w:val="24"/>
          <w:szCs w:val="24"/>
        </w:rPr>
      </w:pPr>
      <w:r>
        <w:rPr>
          <w:rFonts w:cs="Arial" w:ascii="Arial" w:hAnsi="Arial"/>
          <w:b/>
          <w:bCs/>
          <w:i/>
          <w:iCs/>
          <w:color w:val="000000"/>
          <w:sz w:val="24"/>
          <w:szCs w:val="24"/>
        </w:rPr>
        <w:t>N.º 04/2024</w:t>
      </w:r>
    </w:p>
    <w:p>
      <w:pPr>
        <w:pStyle w:val="Normal"/>
        <w:spacing w:lineRule="auto" w:line="259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cs="Arial" w:ascii="Arial" w:hAnsi="Arial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59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cs="Arial" w:ascii="Arial" w:hAnsi="Arial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59"/>
        <w:rPr>
          <w:rFonts w:ascii="Arial" w:hAnsi="Arial"/>
          <w:b w:val="false"/>
          <w:bCs w:val="false"/>
          <w:color w:val="000000"/>
          <w:sz w:val="24"/>
          <w:szCs w:val="24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</w:rPr>
        <w:t>CONTRATANTE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</w:rPr>
        <w:t xml:space="preserve"> </w:t>
      </w:r>
    </w:p>
    <w:p>
      <w:pPr>
        <w:pStyle w:val="Normal"/>
        <w:rPr>
          <w:rFonts w:ascii="Arial" w:hAnsi="Arial"/>
          <w:b/>
          <w:bCs/>
          <w:color w:val="000000"/>
        </w:rPr>
      </w:pPr>
      <w:r>
        <w:rPr>
          <w:rFonts w:cs="Arial" w:ascii="Arial" w:hAnsi="Arial"/>
          <w:b/>
          <w:bCs/>
          <w:color w:val="000000"/>
          <w:sz w:val="28"/>
          <w:szCs w:val="28"/>
        </w:rPr>
        <w:t>CÂMARA MUNICIPAL DE VEREADORES DE SARANDI</w:t>
      </w:r>
    </w:p>
    <w:p>
      <w:pPr>
        <w:pStyle w:val="Normal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cs="Arial" w:ascii="Arial" w:hAnsi="Arial"/>
          <w:color w:val="000000"/>
          <w:sz w:val="32"/>
          <w:szCs w:val="32"/>
        </w:rPr>
      </w:r>
    </w:p>
    <w:p>
      <w:pPr>
        <w:pStyle w:val="Normal"/>
        <w:rPr>
          <w:rFonts w:ascii="Arial" w:hAnsi="Arial"/>
          <w:b w:val="false"/>
          <w:bCs w:val="false"/>
          <w:color w:val="000000"/>
          <w:sz w:val="28"/>
          <w:szCs w:val="28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</w:rPr>
        <w:t>OBJETO</w:t>
      </w:r>
    </w:p>
    <w:p>
      <w:pPr>
        <w:pStyle w:val="Normal"/>
        <w:tabs>
          <w:tab w:val="clear" w:pos="708"/>
          <w:tab w:val="left" w:pos="8441" w:leader="none"/>
        </w:tabs>
        <w:spacing w:lineRule="auto" w:line="276"/>
        <w:jc w:val="both"/>
        <w:rPr>
          <w:rFonts w:ascii="Arial" w:hAnsi="Arial"/>
          <w:color w:val="000000"/>
          <w:sz w:val="28"/>
          <w:szCs w:val="28"/>
        </w:rPr>
      </w:pPr>
      <w:r>
        <w:rPr>
          <w:rFonts w:cs="Arial" w:ascii="Arial" w:hAnsi="Arial"/>
          <w:b/>
          <w:bCs/>
          <w:color w:val="000000"/>
          <w:sz w:val="28"/>
          <w:szCs w:val="28"/>
        </w:rPr>
        <w:t>AQUISIÇÃO DE 01 (UM) BEBEDOURO ELÉTRICO DE COLUNA E 02 (DUAS) CHALEIRAS ELÉTRICAS COM REGULAÇÃO DE NÍVEL DE TEMPERATURA POR TERMOSTATO</w:t>
      </w:r>
    </w:p>
    <w:p>
      <w:pPr>
        <w:pStyle w:val="Normal"/>
        <w:rPr>
          <w:rFonts w:ascii="Arial" w:hAnsi="Arial" w:cs="Arial"/>
          <w:color w:val="000000"/>
          <w:sz w:val="32"/>
          <w:szCs w:val="32"/>
        </w:rPr>
      </w:pPr>
      <w:r>
        <w:rPr>
          <w:rFonts w:cs="Arial" w:ascii="Arial" w:hAnsi="Arial"/>
          <w:color w:val="000000"/>
          <w:sz w:val="32"/>
          <w:szCs w:val="32"/>
        </w:rPr>
      </w:r>
    </w:p>
    <w:p>
      <w:pPr>
        <w:pStyle w:val="Normal"/>
        <w:rPr>
          <w:rFonts w:ascii="Arial" w:hAnsi="Arial"/>
          <w:b w:val="false"/>
          <w:bCs w:val="false"/>
          <w:color w:val="000000"/>
          <w:sz w:val="28"/>
          <w:szCs w:val="28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</w:rPr>
        <w:t xml:space="preserve">VALOR </w:t>
      </w:r>
      <w:bookmarkStart w:id="0" w:name="_GoBack"/>
      <w:bookmarkEnd w:id="0"/>
      <w:r>
        <w:rPr>
          <w:rFonts w:cs="Arial" w:ascii="Arial" w:hAnsi="Arial"/>
          <w:b w:val="false"/>
          <w:bCs w:val="false"/>
          <w:color w:val="000000"/>
          <w:sz w:val="28"/>
          <w:szCs w:val="28"/>
        </w:rPr>
        <w:t>ESTIMADO DA AQUISIÇÃO</w:t>
      </w:r>
    </w:p>
    <w:p>
      <w:pPr>
        <w:pStyle w:val="Normal"/>
        <w:rPr>
          <w:rFonts w:ascii="Arial" w:hAnsi="Arial"/>
          <w:color w:val="000000"/>
        </w:rPr>
      </w:pPr>
      <w:r>
        <w:rPr>
          <w:rFonts w:cs="Arial" w:ascii="Arial" w:hAnsi="Arial"/>
          <w:b/>
          <w:bCs/>
          <w:color w:val="000000"/>
          <w:sz w:val="28"/>
          <w:szCs w:val="28"/>
        </w:rPr>
        <w:t>R$ 1.316,69</w:t>
      </w:r>
    </w:p>
    <w:p>
      <w:pPr>
        <w:pStyle w:val="Normal"/>
        <w:rPr>
          <w:rFonts w:ascii="Arial" w:hAnsi="Arial" w:cs="Arial"/>
          <w:color w:val="000000"/>
          <w:sz w:val="32"/>
          <w:szCs w:val="32"/>
        </w:rPr>
      </w:pPr>
      <w:r>
        <w:rPr>
          <w:rFonts w:cs="Arial" w:ascii="Arial" w:hAnsi="Arial"/>
          <w:color w:val="000000"/>
          <w:sz w:val="32"/>
          <w:szCs w:val="32"/>
        </w:rPr>
      </w:r>
    </w:p>
    <w:p>
      <w:pPr>
        <w:pStyle w:val="Normal"/>
        <w:rPr>
          <w:rFonts w:ascii="Arial" w:hAnsi="Arial"/>
          <w:b w:val="false"/>
          <w:bCs w:val="false"/>
          <w:color w:val="000000"/>
          <w:sz w:val="28"/>
          <w:szCs w:val="28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</w:rPr>
        <w:t xml:space="preserve">PERÍODO DE PROPOSTAS </w:t>
      </w:r>
    </w:p>
    <w:p>
      <w:pPr>
        <w:pStyle w:val="Normal"/>
        <w:spacing w:lineRule="auto" w:line="276"/>
        <w:rPr>
          <w:rFonts w:ascii="Arial" w:hAnsi="Arial"/>
          <w:b/>
          <w:bCs/>
          <w:color w:val="000000"/>
        </w:rPr>
      </w:pPr>
      <w:r>
        <w:rPr>
          <w:rFonts w:cs="Arial" w:ascii="Arial" w:hAnsi="Arial"/>
          <w:b/>
          <w:bCs/>
          <w:color w:val="000000"/>
          <w:sz w:val="28"/>
          <w:szCs w:val="28"/>
        </w:rPr>
        <w:t>De 18/06/2024 às 00h00min</w:t>
      </w:r>
    </w:p>
    <w:p>
      <w:pPr>
        <w:pStyle w:val="Normal"/>
        <w:spacing w:lineRule="auto" w:line="276"/>
        <w:rPr>
          <w:rFonts w:ascii="Arial" w:hAnsi="Arial"/>
          <w:b/>
          <w:bCs/>
          <w:color w:val="000000"/>
        </w:rPr>
      </w:pPr>
      <w:r>
        <w:rPr>
          <w:rFonts w:cs="Arial" w:ascii="Arial" w:hAnsi="Arial"/>
          <w:b/>
          <w:bCs/>
          <w:color w:val="000000"/>
          <w:sz w:val="28"/>
          <w:szCs w:val="28"/>
        </w:rPr>
        <w:t>Até 20/06/2024 às 23h59min</w:t>
      </w:r>
    </w:p>
    <w:p>
      <w:pPr>
        <w:pStyle w:val="Normal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cs="Arial" w:ascii="Arial" w:hAnsi="Arial"/>
          <w:b/>
          <w:bCs/>
          <w:color w:val="000000"/>
          <w:sz w:val="32"/>
          <w:szCs w:val="32"/>
        </w:rPr>
      </w:r>
    </w:p>
    <w:p>
      <w:pPr>
        <w:pStyle w:val="Normal"/>
        <w:rPr>
          <w:rFonts w:ascii="Arial" w:hAnsi="Arial"/>
          <w:b w:val="false"/>
          <w:bCs w:val="false"/>
          <w:color w:val="000000"/>
          <w:sz w:val="28"/>
          <w:szCs w:val="28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</w:rPr>
        <w:t>PREFERÊNCIA ME/EPP/EQUIPARADAS</w:t>
      </w:r>
    </w:p>
    <w:p>
      <w:pPr>
        <w:pStyle w:val="Normal"/>
        <w:rPr>
          <w:rFonts w:ascii="Arial" w:hAnsi="Arial"/>
          <w:color w:val="000000"/>
        </w:rPr>
      </w:pPr>
      <w:r>
        <w:rPr>
          <w:rFonts w:cs="Arial" w:ascii="Arial" w:hAnsi="Arial"/>
          <w:b/>
          <w:bCs/>
          <w:color w:val="000000"/>
          <w:sz w:val="28"/>
          <w:szCs w:val="28"/>
        </w:rPr>
        <w:t>NÃO</w:t>
      </w:r>
    </w:p>
    <w:p>
      <w:pPr>
        <w:pStyle w:val="Normal"/>
        <w:rPr>
          <w:rFonts w:ascii="Arial" w:hAnsi="Arial"/>
          <w:color w:val="000000"/>
        </w:rPr>
      </w:pPr>
      <w:r>
        <w:rPr/>
      </w:r>
    </w:p>
    <w:p>
      <w:pPr>
        <w:pStyle w:val="Normal"/>
        <w:rPr>
          <w:b w:val="false"/>
          <w:bCs w:val="false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</w:rPr>
        <w:t>CONTATO PARA ENVIO DE PROPOSTAS:</w:t>
      </w:r>
    </w:p>
    <w:p>
      <w:pPr>
        <w:pStyle w:val="Normal"/>
        <w:rPr>
          <w:rFonts w:ascii="Arial" w:hAnsi="Arial"/>
          <w:color w:val="000000"/>
        </w:rPr>
      </w:pPr>
      <w:hyperlink r:id="rId2">
        <w:r>
          <w:rPr>
            <w:rFonts w:cs="Arial" w:ascii="Arial" w:hAnsi="Arial"/>
            <w:b/>
            <w:bCs/>
            <w:color w:val="000000"/>
            <w:sz w:val="28"/>
            <w:szCs w:val="28"/>
          </w:rPr>
          <w:t>Email: camara@sarandi.rs.leg.br</w:t>
        </w:r>
      </w:hyperlink>
    </w:p>
    <w:p>
      <w:pPr>
        <w:pStyle w:val="Normal"/>
        <w:rPr>
          <w:rFonts w:ascii="Arial" w:hAnsi="Arial"/>
          <w:color w:val="000000"/>
        </w:rPr>
      </w:pPr>
      <w:r>
        <w:rPr>
          <w:rFonts w:cs="Arial" w:ascii="Arial" w:hAnsi="Arial"/>
          <w:b/>
          <w:bCs/>
          <w:color w:val="000000"/>
          <w:sz w:val="28"/>
          <w:szCs w:val="28"/>
        </w:rPr>
        <w:t>Presencial: Avenida Sete de Setembro, 1790, Centro, Sarandi – RS</w:t>
      </w:r>
    </w:p>
    <w:p>
      <w:pPr>
        <w:pStyle w:val="Normal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</w:r>
    </w:p>
    <w:p>
      <w:pPr>
        <w:pStyle w:val="Normal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</w:r>
    </w:p>
    <w:p>
      <w:pPr>
        <w:pStyle w:val="Normal"/>
        <w:jc w:val="both"/>
        <w:rPr>
          <w:rFonts w:ascii="Arial" w:hAnsi="Arial"/>
          <w:color w:val="000000"/>
        </w:rPr>
      </w:pPr>
      <w:r>
        <w:rPr>
          <w:rFonts w:cs="Arial" w:ascii="Arial" w:hAnsi="Arial"/>
          <w:b/>
          <w:bCs/>
          <w:color w:val="000000"/>
          <w:sz w:val="28"/>
          <w:szCs w:val="28"/>
        </w:rPr>
        <w:tab/>
        <w:t xml:space="preserve">Todas as informações relevantes constam no Anexo I – Termo de Referência. </w:t>
      </w:r>
      <w:r>
        <w:br w:type="page"/>
      </w:r>
    </w:p>
    <w:p>
      <w:pPr>
        <w:pStyle w:val="Normal"/>
        <w:spacing w:lineRule="auto" w:line="276"/>
        <w:jc w:val="center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ANEXO I</w:t>
      </w:r>
    </w:p>
    <w:p>
      <w:pPr>
        <w:pStyle w:val="Normal"/>
        <w:spacing w:lineRule="auto" w:line="276"/>
        <w:jc w:val="center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spacing w:lineRule="auto" w:line="276"/>
        <w:jc w:val="center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TERMO DE REFERÊNCIA – LEI 14.133/21</w:t>
      </w:r>
    </w:p>
    <w:p>
      <w:pPr>
        <w:pStyle w:val="Normal"/>
        <w:spacing w:lineRule="auto" w:line="276"/>
        <w:jc w:val="center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COMPRAS – DISPENSA DE LICITAÇÃO</w:t>
      </w:r>
    </w:p>
    <w:p>
      <w:pPr>
        <w:pStyle w:val="Normal"/>
        <w:spacing w:lineRule="auto" w:line="276"/>
        <w:jc w:val="center"/>
        <w:rPr>
          <w:rFonts w:ascii="Arial" w:hAnsi="Arial" w:cs="Arial"/>
          <w:b/>
          <w:bCs/>
          <w:iCs/>
        </w:rPr>
      </w:pPr>
      <w:r>
        <w:rPr>
          <w:rFonts w:cs="Arial" w:ascii="Arial" w:hAnsi="Arial"/>
          <w:b/>
          <w:bCs/>
          <w:iCs/>
        </w:rPr>
        <w:t>PROCESSO ADMINISTRATIVO Nº 005/2024</w:t>
      </w:r>
    </w:p>
    <w:p>
      <w:pPr>
        <w:pStyle w:val="Normal"/>
        <w:spacing w:lineRule="auto" w:line="276"/>
        <w:jc w:val="center"/>
        <w:rPr>
          <w:rFonts w:ascii="Arial" w:hAnsi="Arial" w:cs="Arial"/>
          <w:b/>
          <w:bCs/>
          <w:iCs/>
        </w:rPr>
      </w:pPr>
      <w:r>
        <w:rPr>
          <w:rFonts w:cs="Arial" w:ascii="Arial" w:hAnsi="Arial"/>
          <w:b/>
          <w:bCs/>
          <w:iCs/>
        </w:rPr>
        <w:t>CÂMARA MUNICIPAL DE SARANDI RS</w:t>
      </w:r>
    </w:p>
    <w:p>
      <w:pPr>
        <w:pStyle w:val="Normal"/>
        <w:spacing w:lineRule="auto" w:line="360"/>
        <w:ind w:firstLine="709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ListParagraph"/>
        <w:numPr>
          <w:ilvl w:val="0"/>
          <w:numId w:val="7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/>
        <w:ind w:left="0" w:hanging="0"/>
        <w:jc w:val="both"/>
        <w:rPr>
          <w:rFonts w:ascii="Arial" w:hAnsi="Arial" w:cs="Arial"/>
          <w:b/>
          <w:bCs/>
          <w:iCs/>
          <w:color w:val="FF0000"/>
        </w:rPr>
      </w:pPr>
      <w:r>
        <w:rPr>
          <w:rFonts w:cs="Arial" w:ascii="Arial" w:hAnsi="Arial"/>
          <w:b/>
          <w:bCs/>
        </w:rPr>
        <w:t xml:space="preserve">DAS CONDIÇÕES GERAIS DA CONTRATAÇÃO </w:t>
      </w:r>
    </w:p>
    <w:p>
      <w:pPr>
        <w:pStyle w:val="Normal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Normal"/>
        <w:spacing w:lineRule="auto" w:line="360"/>
        <w:ind w:firstLine="851"/>
        <w:jc w:val="both"/>
        <w:rPr>
          <w:rFonts w:ascii="Arial" w:hAnsi="Arial" w:eastAsia="Aptos" w:cs="Arial" w:eastAsiaTheme="minorHAnsi"/>
        </w:rPr>
      </w:pPr>
      <w:r>
        <w:rPr>
          <w:rFonts w:cs="Arial" w:ascii="Arial" w:hAnsi="Arial"/>
          <w:bCs/>
          <w:iCs/>
        </w:rPr>
        <w:t xml:space="preserve">A presente licitação tem por objetivo a aquisição de equipamentos de cozinha para a Câmara de Vereadores de Sarandi RS, a fim de </w:t>
      </w:r>
      <w:r>
        <w:rPr>
          <w:rFonts w:cs="Arial" w:ascii="Arial" w:hAnsi="Arial"/>
        </w:rPr>
        <w:t>promover um ambiente mais acolhedor e funcional, contribuindo para a eficiência e produtividade dos serviços prestados.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ListParagraph"/>
        <w:numPr>
          <w:ilvl w:val="0"/>
          <w:numId w:val="8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/>
        <w:ind w:left="0" w:hanging="0"/>
        <w:jc w:val="both"/>
        <w:rPr>
          <w:rFonts w:ascii="Arial" w:hAnsi="Arial" w:cs="Arial"/>
          <w:b/>
          <w:iCs/>
        </w:rPr>
      </w:pPr>
      <w:r>
        <w:rPr>
          <w:rFonts w:cs="Arial" w:ascii="Arial" w:hAnsi="Arial"/>
          <w:b/>
          <w:iCs/>
        </w:rPr>
        <w:t>FORMA DE SELEÇÃO E CRITÉRIO DE JULGAMENTO</w:t>
      </w:r>
    </w:p>
    <w:p>
      <w:pPr>
        <w:pStyle w:val="Normal"/>
        <w:ind w:firstLine="709"/>
        <w:jc w:val="both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Normal"/>
        <w:spacing w:lineRule="auto" w:line="360"/>
        <w:ind w:firstLine="851"/>
        <w:jc w:val="both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  <w:t xml:space="preserve">O fornecedor será selecionado por meio da realização de termo de formalização de dispensa de licitação, na 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  <w:bCs/>
          <w:iCs/>
        </w:rPr>
      </w:pPr>
      <w:r>
        <w:rPr>
          <w:rFonts w:cs="Arial" w:ascii="Arial" w:hAnsi="Arial"/>
          <w:b/>
          <w:iCs/>
        </w:rPr>
        <w:t>Modalidade:</w:t>
      </w:r>
      <w:r>
        <w:rPr>
          <w:rFonts w:cs="Arial" w:ascii="Arial" w:hAnsi="Arial"/>
          <w:bCs/>
          <w:iCs/>
        </w:rPr>
        <w:t xml:space="preserve"> DISPENSA DE LICITAÇÃO PRESENCIAL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  <w:bCs/>
          <w:iCs/>
        </w:rPr>
      </w:pPr>
      <w:r>
        <w:rPr>
          <w:rFonts w:cs="Arial" w:ascii="Arial" w:hAnsi="Arial"/>
          <w:b/>
          <w:iCs/>
        </w:rPr>
        <w:t>Critério de julgamento:</w:t>
      </w:r>
      <w:r>
        <w:rPr>
          <w:rFonts w:cs="Arial" w:ascii="Arial" w:hAnsi="Arial"/>
          <w:bCs/>
          <w:iCs/>
        </w:rPr>
        <w:t xml:space="preserve"> pelo MENOR PREÇO por ITEM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  <w:b/>
          <w:iCs/>
        </w:rPr>
      </w:pPr>
      <w:r>
        <w:rPr>
          <w:rFonts w:cs="Arial" w:ascii="Arial" w:hAnsi="Arial"/>
          <w:b/>
          <w:iCs/>
        </w:rPr>
        <w:t xml:space="preserve">Modo de Disputa: </w:t>
      </w:r>
      <w:r>
        <w:rPr>
          <w:rFonts w:cs="Arial" w:ascii="Arial" w:hAnsi="Arial"/>
          <w:bCs/>
          <w:iCs/>
        </w:rPr>
        <w:t>Fechado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  <w:b/>
          <w:iCs/>
        </w:rPr>
      </w:pPr>
      <w:r>
        <w:rPr>
          <w:rFonts w:cs="Arial" w:ascii="Arial" w:hAnsi="Arial"/>
          <w:b/>
          <w:iCs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 xml:space="preserve">Em consonância ao </w:t>
      </w:r>
      <w:r>
        <w:rPr>
          <w:rFonts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§ 3º</w:t>
      </w:r>
      <w:r>
        <w:rPr>
          <w:rFonts w:ascii="Arial" w:hAnsi="Arial"/>
          <w:b w:val="false"/>
          <w:bCs w:val="false"/>
          <w:sz w:val="24"/>
          <w:szCs w:val="24"/>
        </w:rPr>
        <w:t xml:space="preserve"> do Art. 75 da Lei 14.133/2021, deverá a administração proceder à divulgação em sítio eletrônico oficial, pelo período mínimo de três dias úteis, de aviso de interesse em obter propostas adicionais de fornecedores interessados, selecionando a proposta mais vantajosa.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  <w:b/>
          <w:iCs/>
        </w:rPr>
      </w:pPr>
      <w:r>
        <w:rPr>
          <w:rFonts w:cs="Arial" w:ascii="Arial" w:hAnsi="Arial"/>
          <w:b/>
          <w:iCs/>
        </w:rPr>
      </w:r>
    </w:p>
    <w:p>
      <w:pPr>
        <w:pStyle w:val="ListParagraph"/>
        <w:numPr>
          <w:ilvl w:val="0"/>
          <w:numId w:val="9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/>
        <w:ind w:left="0" w:hanging="0"/>
        <w:jc w:val="both"/>
        <w:rPr>
          <w:rFonts w:ascii="Arial" w:hAnsi="Arial" w:cs="Arial"/>
          <w:b/>
          <w:iCs/>
        </w:rPr>
      </w:pPr>
      <w:r>
        <w:rPr>
          <w:rFonts w:cs="Arial" w:ascii="Arial" w:hAnsi="Arial"/>
          <w:b/>
          <w:iCs/>
        </w:rPr>
        <w:t>DO OBJETO</w:t>
      </w:r>
    </w:p>
    <w:p>
      <w:pPr>
        <w:pStyle w:val="Normal"/>
        <w:ind w:firstLine="709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360"/>
        <w:ind w:firstLine="851"/>
        <w:rPr>
          <w:rFonts w:ascii="Arial" w:hAnsi="Arial" w:cs="Arial"/>
        </w:rPr>
      </w:pPr>
      <w:r>
        <w:rPr>
          <w:rFonts w:cs="Arial" w:ascii="Arial" w:hAnsi="Arial"/>
        </w:rPr>
        <w:t>Os itens a serem adquiridos, cuja necessidade se faz premente, conforme requerimento, são os seguintes:</w:t>
      </w:r>
    </w:p>
    <w:p>
      <w:pPr>
        <w:pStyle w:val="Normal"/>
        <w:spacing w:lineRule="auto" w:line="360"/>
        <w:ind w:firstLine="709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Style w:val="Tabelacomgrade"/>
        <w:tblW w:w="5000" w:type="pct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89"/>
        <w:gridCol w:w="3286"/>
        <w:gridCol w:w="1756"/>
        <w:gridCol w:w="688"/>
        <w:gridCol w:w="1263"/>
        <w:gridCol w:w="1389"/>
      </w:tblGrid>
      <w:tr>
        <w:trPr/>
        <w:tc>
          <w:tcPr>
            <w:tcW w:w="689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Item</w:t>
            </w:r>
          </w:p>
        </w:tc>
        <w:tc>
          <w:tcPr>
            <w:tcW w:w="3286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Especificação</w:t>
            </w:r>
          </w:p>
        </w:tc>
        <w:tc>
          <w:tcPr>
            <w:tcW w:w="1756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Unidade de Medida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Qnt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Valor Médio Unitário</w:t>
            </w:r>
          </w:p>
        </w:tc>
        <w:tc>
          <w:tcPr>
            <w:tcW w:w="1389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Valor Médio Total</w:t>
            </w:r>
          </w:p>
        </w:tc>
      </w:tr>
      <w:tr>
        <w:trPr/>
        <w:tc>
          <w:tcPr>
            <w:tcW w:w="689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1</w:t>
            </w:r>
          </w:p>
        </w:tc>
        <w:tc>
          <w:tcPr>
            <w:tcW w:w="3286" w:type="dxa"/>
            <w:tcBorders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16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Bebedouro elétrico</w:t>
            </w: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 xml:space="preserve"> de coluna, compatível com bombonas de 20 litros, para fornecimento de água gelada e natural.</w:t>
            </w:r>
          </w:p>
        </w:tc>
        <w:tc>
          <w:tcPr>
            <w:tcW w:w="1756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unidade</w:t>
            </w:r>
          </w:p>
        </w:tc>
        <w:tc>
          <w:tcPr>
            <w:tcW w:w="688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01</w:t>
            </w:r>
          </w:p>
        </w:tc>
        <w:tc>
          <w:tcPr>
            <w:tcW w:w="1263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R$ 919,33</w:t>
            </w:r>
          </w:p>
        </w:tc>
        <w:tc>
          <w:tcPr>
            <w:tcW w:w="1389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R$ 919,33</w:t>
            </w:r>
          </w:p>
        </w:tc>
      </w:tr>
      <w:tr>
        <w:trPr/>
        <w:tc>
          <w:tcPr>
            <w:tcW w:w="689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2</w:t>
            </w:r>
          </w:p>
        </w:tc>
        <w:tc>
          <w:tcPr>
            <w:tcW w:w="3286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Chaleira Elétrica</w:t>
            </w: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, com termostato, capacidade mínima de 1,7 litros e máxima de 2 litros, destinada ao aquecimento rápido de água.</w:t>
            </w:r>
          </w:p>
        </w:tc>
        <w:tc>
          <w:tcPr>
            <w:tcW w:w="1756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unidade</w:t>
            </w:r>
          </w:p>
        </w:tc>
        <w:tc>
          <w:tcPr>
            <w:tcW w:w="688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02</w:t>
            </w:r>
          </w:p>
        </w:tc>
        <w:tc>
          <w:tcPr>
            <w:tcW w:w="1263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R$ 198,68</w:t>
            </w:r>
          </w:p>
        </w:tc>
        <w:tc>
          <w:tcPr>
            <w:tcW w:w="1389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R$ 198,68</w:t>
            </w:r>
          </w:p>
        </w:tc>
      </w:tr>
    </w:tbl>
    <w:p>
      <w:pPr>
        <w:pStyle w:val="Normal"/>
        <w:spacing w:lineRule="auto" w:line="360"/>
        <w:ind w:firstLine="709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/>
      </w:pPr>
      <w:r>
        <w:rPr/>
        <w:t>Vislumbra-se que tal valor é compatível com o praticado pelo mercado correspondente, observando-se o disposto no artigo 5° da Resolução de Mesa 04/</w:t>
      </w:r>
      <w:r>
        <w:rPr>
          <w:color w:val="auto"/>
        </w:rPr>
        <w:t xml:space="preserve">2024 </w:t>
      </w:r>
      <w:r>
        <w:rPr/>
        <w:t>e no art. 23, §1º, da Lei n.º 14.133/2021.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lang w:eastAsia="zh-CN"/>
        </w:rPr>
      </w:pPr>
      <w:r>
        <w:rPr/>
        <w:t>O objeto desta contratação não se e</w:t>
      </w:r>
      <w:r>
        <w:rPr>
          <w:color w:val="auto"/>
        </w:rPr>
        <w:t xml:space="preserve">nquadra como sendo de bem de luxo, conforme Resolução de Mesa n.º 003/2024 e </w:t>
      </w:r>
      <w:r>
        <w:rPr>
          <w:rFonts w:eastAsia="Times New Roman"/>
          <w:lang w:eastAsia="zh-CN"/>
        </w:rPr>
        <w:t>tem natureza comum, nos termos do art. 6º, inciso XIII, da Lei Federal n.º 14.133/2021.</w:t>
      </w:r>
    </w:p>
    <w:p>
      <w:pPr>
        <w:pStyle w:val="Normal"/>
        <w:shd w:val="clear" w:color="auto" w:fill="D9D9D9" w:themeFill="background1" w:themeFillShade="d9"/>
        <w:spacing w:lineRule="auto" w:line="360" w:before="240" w:after="0"/>
        <w:jc w:val="both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iCs/>
        </w:rPr>
        <w:t>4.  FUNDAMENTAÇÃO DA CONTRATAÇÃO</w:t>
      </w:r>
    </w:p>
    <w:p>
      <w:pPr>
        <w:pStyle w:val="Normal"/>
        <w:suppressAutoHyphens w:val="false"/>
        <w:ind w:firstLine="720"/>
        <w:jc w:val="both"/>
        <w:rPr>
          <w:rFonts w:ascii="Arial" w:hAnsi="Arial" w:eastAsia="Calibri" w:cs="Arial"/>
          <w:lang w:eastAsia="en-US"/>
        </w:rPr>
      </w:pPr>
      <w:r>
        <w:rPr>
          <w:rFonts w:eastAsia="Calibri" w:cs="Arial" w:ascii="Arial" w:hAnsi="Arial"/>
          <w:lang w:eastAsia="en-US"/>
        </w:rPr>
      </w:r>
    </w:p>
    <w:p>
      <w:pPr>
        <w:pStyle w:val="Normal"/>
        <w:suppressAutoHyphens w:val="false"/>
        <w:spacing w:lineRule="auto" w:line="360"/>
        <w:ind w:firstLine="851"/>
        <w:jc w:val="both"/>
        <w:rPr>
          <w:rFonts w:ascii="Arial" w:hAnsi="Arial" w:eastAsia="Calibri" w:cs="Arial"/>
          <w:lang w:eastAsia="en-US"/>
        </w:rPr>
      </w:pPr>
      <w:r>
        <w:rPr>
          <w:rFonts w:eastAsia="Calibri" w:cs="Arial" w:ascii="Arial" w:hAnsi="Arial"/>
          <w:lang w:eastAsia="en-US"/>
        </w:rPr>
        <w:t xml:space="preserve">A realização deste processo é de vital importância para assegurar o contínuo fornecimento de materiais essenciais que sustentam as operações diárias e o adequado desempenho das funções institucionais. </w:t>
      </w:r>
    </w:p>
    <w:p>
      <w:pPr>
        <w:pStyle w:val="Normal"/>
        <w:suppressAutoHyphens w:val="false"/>
        <w:spacing w:lineRule="auto" w:line="360"/>
        <w:ind w:firstLine="720"/>
        <w:jc w:val="both"/>
        <w:rPr>
          <w:rFonts w:ascii="Arial" w:hAnsi="Arial" w:eastAsia="Calibri" w:cs="Arial"/>
          <w:lang w:eastAsia="en-US"/>
        </w:rPr>
      </w:pPr>
      <w:r>
        <w:rPr>
          <w:rFonts w:eastAsia="Calibri" w:cs="Arial" w:ascii="Arial" w:hAnsi="Arial"/>
          <w:lang w:eastAsia="en-US"/>
        </w:rPr>
      </w:r>
    </w:p>
    <w:p>
      <w:pPr>
        <w:pStyle w:val="Normal"/>
        <w:shd w:val="clear" w:color="auto" w:fill="D9D9D9" w:themeFill="background1" w:themeFillShade="d9"/>
        <w:spacing w:lineRule="auto" w:line="360"/>
        <w:jc w:val="both"/>
        <w:rPr>
          <w:rFonts w:ascii="Arial" w:hAnsi="Arial" w:cs="Arial"/>
          <w:b/>
          <w:iCs/>
        </w:rPr>
      </w:pPr>
      <w:r>
        <w:rPr>
          <w:rFonts w:cs="Arial" w:ascii="Arial" w:hAnsi="Arial"/>
          <w:b/>
          <w:iCs/>
        </w:rPr>
        <w:t>5. DESCRIÇÃO DA SOLUÇÃO COMO UM TODO</w:t>
      </w:r>
    </w:p>
    <w:p>
      <w:pPr>
        <w:pStyle w:val="Normal"/>
        <w:suppressAutoHyphens w:val="false"/>
        <w:rPr>
          <w:rFonts w:ascii="Arial" w:hAnsi="Arial" w:eastAsia="Calibri" w:cs="Arial"/>
          <w:lang w:eastAsia="en-US"/>
        </w:rPr>
      </w:pPr>
      <w:r>
        <w:rPr>
          <w:rFonts w:eastAsia="Calibri" w:cs="Arial" w:ascii="Arial" w:hAnsi="Arial"/>
          <w:lang w:eastAsia="en-US"/>
        </w:rPr>
        <w:tab/>
      </w:r>
    </w:p>
    <w:p>
      <w:pPr>
        <w:pStyle w:val="Normal"/>
        <w:suppressAutoHyphens w:val="false"/>
        <w:spacing w:lineRule="auto" w:line="360" w:before="0" w:after="160"/>
        <w:ind w:firstLine="851"/>
        <w:jc w:val="both"/>
        <w:rPr>
          <w:rFonts w:ascii="Arial" w:hAnsi="Arial" w:cs="Arial"/>
        </w:rPr>
      </w:pPr>
      <w:r>
        <w:rPr>
          <w:rFonts w:eastAsia="Calibri" w:cs="Arial" w:ascii="Arial" w:hAnsi="Arial"/>
          <w:lang w:eastAsia="en-US"/>
        </w:rPr>
        <w:t xml:space="preserve">A aquisição de equipamentos é crucial para manter a </w:t>
      </w:r>
      <w:r>
        <w:rPr>
          <w:rFonts w:eastAsia="Calibri" w:cs="Arial" w:ascii="Arial" w:hAnsi="Arial"/>
          <w:b/>
          <w:bCs/>
          <w:lang w:eastAsia="en-US"/>
        </w:rPr>
        <w:t>continuidade das operações e serviços</w:t>
      </w:r>
      <w:r>
        <w:rPr>
          <w:rFonts w:eastAsia="Calibri" w:cs="Arial" w:ascii="Arial" w:hAnsi="Arial"/>
          <w:lang w:eastAsia="en-US"/>
        </w:rPr>
        <w:t xml:space="preserve"> oferecidos por esta instituição, evitando interrupções que possam prejudicar o atendimento às necessidades da população.</w:t>
      </w:r>
    </w:p>
    <w:p>
      <w:pPr>
        <w:pStyle w:val="Normal"/>
        <w:suppressAutoHyphens w:val="false"/>
        <w:spacing w:lineRule="auto" w:line="360" w:before="0" w:after="160"/>
        <w:ind w:firstLine="851"/>
        <w:jc w:val="both"/>
        <w:rPr>
          <w:rFonts w:ascii="Arial" w:hAnsi="Arial" w:cs="Arial"/>
        </w:rPr>
      </w:pPr>
      <w:r>
        <w:rPr>
          <w:rFonts w:eastAsia="Calibri" w:cs="Arial" w:ascii="Arial" w:hAnsi="Arial"/>
          <w:lang w:eastAsia="en-US"/>
        </w:rPr>
        <w:t xml:space="preserve">O processo de contratação permitirá selecionar fornecedores que atendam aos rigorosos critérios de </w:t>
      </w:r>
      <w:r>
        <w:rPr>
          <w:rFonts w:eastAsia="Calibri" w:cs="Arial" w:ascii="Arial" w:hAnsi="Arial"/>
          <w:b/>
          <w:bCs/>
          <w:lang w:eastAsia="en-US"/>
        </w:rPr>
        <w:t>qualidade e conformidade</w:t>
      </w:r>
      <w:r>
        <w:rPr>
          <w:rFonts w:eastAsia="Calibri" w:cs="Arial" w:ascii="Arial" w:hAnsi="Arial"/>
          <w:lang w:eastAsia="en-US"/>
        </w:rPr>
        <w:t xml:space="preserve"> estabelecidos, garantindo assim a aquisição de materiais que atendam plenamente às necessidades institucionais.</w:t>
      </w:r>
    </w:p>
    <w:p>
      <w:pPr>
        <w:pStyle w:val="Normal"/>
        <w:suppressAutoHyphens w:val="false"/>
        <w:spacing w:lineRule="auto" w:line="360" w:before="0" w:after="160"/>
        <w:ind w:firstLine="851"/>
        <w:jc w:val="both"/>
        <w:rPr>
          <w:rFonts w:ascii="Arial" w:hAnsi="Arial" w:eastAsia="Calibri" w:cs="Arial"/>
          <w:lang w:eastAsia="en-US"/>
        </w:rPr>
      </w:pPr>
      <w:r>
        <w:rPr>
          <w:rFonts w:eastAsia="Calibri" w:cs="Arial" w:ascii="Arial" w:hAnsi="Arial"/>
          <w:lang w:eastAsia="en-US"/>
        </w:rPr>
        <w:t xml:space="preserve">A publicação de aviso eletrônico para manifestação de interesse por parte dos fornecedores assegura um processo </w:t>
      </w:r>
      <w:r>
        <w:rPr>
          <w:rFonts w:eastAsia="Calibri" w:cs="Arial" w:ascii="Arial" w:hAnsi="Arial"/>
          <w:b/>
          <w:bCs/>
          <w:lang w:eastAsia="en-US"/>
        </w:rPr>
        <w:t>transparente</w:t>
      </w:r>
      <w:r>
        <w:rPr>
          <w:rFonts w:eastAsia="Calibri" w:cs="Arial" w:ascii="Arial" w:hAnsi="Arial"/>
          <w:lang w:eastAsia="en-US"/>
        </w:rPr>
        <w:t xml:space="preserve"> e justo de aquisição, em estrita </w:t>
      </w:r>
      <w:r>
        <w:rPr>
          <w:rFonts w:eastAsia="Calibri" w:cs="Arial" w:ascii="Arial" w:hAnsi="Arial"/>
          <w:b/>
          <w:bCs/>
          <w:lang w:eastAsia="en-US"/>
        </w:rPr>
        <w:t>conformidade com a legislação vigente</w:t>
      </w:r>
      <w:r>
        <w:rPr>
          <w:rFonts w:eastAsia="Calibri" w:cs="Arial" w:ascii="Arial" w:hAnsi="Arial"/>
          <w:lang w:eastAsia="en-US"/>
        </w:rPr>
        <w:t xml:space="preserve">, reforçando o compromisso desta instituição com a </w:t>
      </w:r>
      <w:r>
        <w:rPr>
          <w:rFonts w:eastAsia="Calibri" w:cs="Arial" w:ascii="Arial" w:hAnsi="Arial"/>
          <w:b/>
          <w:bCs/>
          <w:lang w:eastAsia="en-US"/>
        </w:rPr>
        <w:t>integridade</w:t>
      </w:r>
      <w:r>
        <w:rPr>
          <w:rFonts w:eastAsia="Calibri" w:cs="Arial" w:ascii="Arial" w:hAnsi="Arial"/>
          <w:lang w:eastAsia="en-US"/>
        </w:rPr>
        <w:t xml:space="preserve"> e a responsabilidade no uso dos recursos públicos.</w:t>
      </w:r>
    </w:p>
    <w:p>
      <w:pPr>
        <w:pStyle w:val="Normal"/>
        <w:suppressAutoHyphens w:val="false"/>
        <w:spacing w:lineRule="auto" w:line="360" w:before="0" w:after="160"/>
        <w:ind w:firstLine="851"/>
        <w:jc w:val="both"/>
        <w:rPr>
          <w:rFonts w:ascii="Arial" w:hAnsi="Arial" w:cs="Arial"/>
          <w:u w:val="single"/>
        </w:rPr>
      </w:pPr>
      <w:r>
        <w:rPr>
          <w:rFonts w:cs="Arial" w:ascii="Arial" w:hAnsi="Arial"/>
          <w:u w:val="single"/>
        </w:rPr>
        <w:t>A Câmara de Vereadores não elaborou até a presente data, o Plano de Contratações Anual - PCA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b/>
          <w:bCs/>
        </w:rPr>
      </w:pPr>
      <w:r>
        <w:rPr>
          <w:b/>
          <w:bCs/>
        </w:rPr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before="0" w:after="0"/>
        <w:ind w:left="0" w:hanging="11"/>
        <w:rPr>
          <w:b/>
          <w:bCs/>
        </w:rPr>
      </w:pPr>
      <w:r>
        <w:rPr>
          <w:b/>
          <w:bCs/>
        </w:rPr>
        <w:t>REQUISITOS DA CONTRATAÇÃO</w:t>
      </w:r>
    </w:p>
    <w:p>
      <w:pPr>
        <w:pStyle w:val="Normal"/>
        <w:shd w:val="clear" w:color="auto" w:fill="FFFFFF" w:themeFill="background1"/>
        <w:ind w:firstLine="709"/>
        <w:jc w:val="both"/>
        <w:rPr>
          <w:rFonts w:ascii="Arial" w:hAnsi="Arial" w:cs="Arial"/>
          <w:b/>
          <w:bCs/>
          <w:color w:val="FF0000"/>
        </w:rPr>
      </w:pPr>
      <w:r>
        <w:rPr>
          <w:rFonts w:cs="Arial" w:ascii="Arial" w:hAnsi="Arial"/>
          <w:b/>
          <w:bCs/>
          <w:color w:val="FF0000"/>
        </w:rPr>
      </w:r>
    </w:p>
    <w:p>
      <w:pPr>
        <w:pStyle w:val="Nivel2"/>
        <w:numPr>
          <w:ilvl w:val="0"/>
          <w:numId w:val="0"/>
        </w:numPr>
        <w:spacing w:lineRule="auto" w:line="360" w:before="120" w:after="0"/>
        <w:ind w:left="0" w:hanging="0"/>
        <w:rPr>
          <w:b/>
          <w:bCs/>
        </w:rPr>
      </w:pPr>
      <w:r>
        <w:rPr>
          <w:b/>
          <w:bCs/>
        </w:rPr>
        <w:t>DA HABILITAÇÃO JURÍDICA E DA REGULARIDADE FÍSICA E DECLARAÇÃO</w:t>
      </w:r>
    </w:p>
    <w:p>
      <w:pPr>
        <w:pStyle w:val="Nivel2"/>
        <w:numPr>
          <w:ilvl w:val="0"/>
          <w:numId w:val="0"/>
        </w:numPr>
        <w:spacing w:lineRule="auto" w:line="360" w:before="120" w:after="0"/>
        <w:ind w:left="0" w:firstLine="851"/>
        <w:rPr>
          <w:rFonts w:eastAsia="Times New Roman"/>
          <w:lang w:eastAsia="zh-CN"/>
        </w:rPr>
      </w:pPr>
      <w:r>
        <w:rPr>
          <w:rFonts w:eastAsia="Times New Roman"/>
          <w:lang w:eastAsia="zh-CN"/>
        </w:rPr>
        <w:t>No procedimento de contratação, será necessário que a futura CONTRATADA apresente o que segue: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eastAsia="Times New Roman"/>
          <w:b/>
          <w:bCs/>
          <w:u w:val="single"/>
          <w:lang w:eastAsia="zh-CN"/>
        </w:rPr>
      </w:pPr>
      <w:r>
        <w:rPr>
          <w:rFonts w:eastAsia="Times New Roman"/>
          <w:b/>
          <w:bCs/>
          <w:u w:val="single"/>
          <w:lang w:eastAsia="zh-CN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eastAsia="Times New Roman"/>
          <w:b/>
          <w:bCs/>
          <w:u w:val="single"/>
          <w:lang w:eastAsia="zh-CN"/>
        </w:rPr>
      </w:pPr>
      <w:r>
        <w:rPr>
          <w:rFonts w:eastAsia="Times New Roman"/>
          <w:b/>
          <w:bCs/>
          <w:u w:val="single"/>
          <w:lang w:eastAsia="zh-CN"/>
        </w:rPr>
        <w:t>Habilitação Jurídica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eastAsia="Times New Roman"/>
          <w:lang w:eastAsia="zh-CN"/>
        </w:rPr>
      </w:pPr>
      <w:r>
        <w:rPr>
          <w:rFonts w:eastAsia="Times New Roman"/>
          <w:color w:val="auto"/>
          <w:lang w:eastAsia="zh-CN"/>
        </w:rPr>
        <w:t>I - Registro Comercial, Ato Constitutivo, Estatuto ou Ata Social e suas alterações, devidamente registrado na Junta Comercial</w:t>
      </w:r>
      <w:r>
        <w:rPr>
          <w:rFonts w:eastAsia="Times New Roman"/>
          <w:color w:val="FF0000"/>
          <w:lang w:eastAsia="zh-CN"/>
        </w:rPr>
        <w:t>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eastAsia="Times New Roman"/>
          <w:color w:val="auto"/>
          <w:lang w:eastAsia="zh-CN"/>
        </w:rPr>
      </w:pPr>
      <w:r>
        <w:rPr>
          <w:rFonts w:eastAsia="Times New Roman"/>
          <w:color w:val="auto"/>
          <w:lang w:eastAsia="zh-CN"/>
        </w:rPr>
        <w:t>a) Somente será(ão) habilitado(s) a(s) licitantes(s) que apresentar(em), além de toda a documentação exigida, o ramo pertinente ao objeto desta contratação no seu objeto social.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eastAsia="Times New Roman"/>
          <w:color w:val="FF0000"/>
          <w:lang w:eastAsia="zh-CN"/>
        </w:rPr>
      </w:pPr>
      <w:bookmarkStart w:id="1" w:name="_Hlk160479309"/>
      <w:r>
        <w:rPr>
          <w:rFonts w:eastAsia="Times New Roman"/>
          <w:color w:val="auto"/>
          <w:lang w:eastAsia="zh-CN"/>
        </w:rPr>
        <w:t xml:space="preserve">II - </w:t>
      </w:r>
      <w:bookmarkStart w:id="2" w:name="_Hlk167866864"/>
      <w:r>
        <w:rPr>
          <w:rFonts w:eastAsia="Times New Roman"/>
          <w:color w:val="auto"/>
          <w:lang w:eastAsia="zh-CN"/>
        </w:rPr>
        <w:t>O Certificado da Condição de Microempreendedor Individual – CCMEI quando permitida a participação do MEI</w:t>
      </w:r>
      <w:bookmarkEnd w:id="1"/>
      <w:r>
        <w:rPr>
          <w:rFonts w:eastAsia="Times New Roman"/>
          <w:color w:val="auto"/>
          <w:lang w:eastAsia="zh-CN"/>
        </w:rPr>
        <w:t>.</w:t>
      </w:r>
      <w:bookmarkEnd w:id="2"/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eastAsia="Times New Roman"/>
          <w:color w:val="auto"/>
          <w:lang w:eastAsia="zh-CN"/>
        </w:rPr>
      </w:pPr>
      <w:r>
        <w:rPr>
          <w:rFonts w:eastAsia="Times New Roman"/>
          <w:color w:val="auto"/>
          <w:lang w:eastAsia="zh-CN"/>
        </w:rPr>
        <w:t>III - I</w:t>
      </w:r>
      <w:r>
        <w:rPr>
          <w:color w:val="auto"/>
        </w:rPr>
        <w:t>nscrição no Cadastro Nacional de Pessoas Jurídicas (CNPJ) ou Cadastro de Pessoa Física (CPF);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lang w:eastAsia="zh-CN"/>
        </w:rPr>
      </w:pPr>
      <w:r>
        <w:rPr>
          <w:rFonts w:eastAsia="Times New Roman"/>
          <w:lang w:eastAsia="zh-CN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b/>
          <w:bCs/>
          <w:u w:val="single"/>
          <w:lang w:eastAsia="zh-CN"/>
        </w:rPr>
      </w:pPr>
      <w:r>
        <w:rPr>
          <w:rFonts w:eastAsia="Times New Roman"/>
          <w:b/>
          <w:bCs/>
          <w:u w:val="single"/>
          <w:lang w:eastAsia="zh-CN"/>
        </w:rPr>
        <w:t>Habilitação Fiscal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color w:val="FF0000"/>
          <w:lang w:eastAsia="zh-CN"/>
        </w:rPr>
      </w:pPr>
      <w:r>
        <w:rPr>
          <w:rFonts w:eastAsia="Times New Roman"/>
          <w:lang w:eastAsia="zh-CN"/>
        </w:rPr>
        <w:t xml:space="preserve">I - </w:t>
      </w:r>
      <w:r>
        <w:rPr>
          <w:rFonts w:eastAsia="Times New Roman"/>
          <w:color w:val="auto"/>
          <w:lang w:eastAsia="zh-CN"/>
        </w:rPr>
        <w:t>Prova de Regularidade com a Fazenda Federal</w:t>
      </w:r>
      <w:r>
        <w:rPr>
          <w:rFonts w:eastAsia="Times New Roman"/>
          <w:color w:val="FF0000"/>
          <w:lang w:eastAsia="zh-CN"/>
        </w:rPr>
        <w:t>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color w:val="auto"/>
          <w:lang w:eastAsia="zh-CN"/>
        </w:rPr>
      </w:pPr>
      <w:r>
        <w:rPr>
          <w:rFonts w:eastAsia="Times New Roman"/>
          <w:color w:val="auto"/>
          <w:lang w:eastAsia="zh-CN"/>
        </w:rPr>
        <w:t>II - Prova de Regularidade com a Fazenda Estadual.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color w:val="FF0000"/>
          <w:lang w:eastAsia="zh-CN"/>
        </w:rPr>
      </w:pPr>
      <w:r>
        <w:rPr>
          <w:rFonts w:eastAsia="Times New Roman"/>
          <w:color w:val="auto"/>
          <w:lang w:eastAsia="zh-CN"/>
        </w:rPr>
        <w:t>III - Prova de Regularidade com a Fazenda Municipal, conforme legislação tributária do Município expedidor da licitante</w:t>
      </w:r>
      <w:r>
        <w:rPr>
          <w:rFonts w:eastAsia="Times New Roman"/>
          <w:color w:val="FF0000"/>
          <w:lang w:eastAsia="zh-CN"/>
        </w:rPr>
        <w:t>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color w:val="auto"/>
          <w:lang w:eastAsia="zh-CN"/>
        </w:rPr>
      </w:pPr>
      <w:r>
        <w:rPr>
          <w:rFonts w:eastAsia="Times New Roman"/>
          <w:color w:val="auto"/>
          <w:lang w:eastAsia="zh-CN"/>
        </w:rPr>
        <w:t>IV - Prova de Regularidade junto ao Fundo de Garantia por Tempo de Serviço – FGTS.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color w:val="auto"/>
          <w:lang w:eastAsia="zh-CN"/>
        </w:rPr>
      </w:pPr>
      <w:r>
        <w:rPr>
          <w:rFonts w:eastAsia="Times New Roman"/>
          <w:color w:val="auto"/>
          <w:lang w:eastAsia="zh-CN"/>
        </w:rPr>
        <w:t xml:space="preserve">V - </w:t>
      </w:r>
      <w:bookmarkStart w:id="3" w:name="_Hlk167867545"/>
      <w:r>
        <w:rPr>
          <w:rFonts w:eastAsia="Times New Roman"/>
          <w:color w:val="auto"/>
          <w:lang w:eastAsia="zh-CN"/>
        </w:rPr>
        <w:t xml:space="preserve">Prova de Inscrição no cadastro de contribuinte, ICMS/ISS: Inscrição Estadual ou Municipal, caso tenha, relativo ao domicílio ou sede do licitante, pertinente ao seu ramo de atividade e compatível com o objeto da licitação. </w:t>
      </w:r>
      <w:bookmarkEnd w:id="3"/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lang w:eastAsia="zh-CN"/>
        </w:rPr>
      </w:pPr>
      <w:r>
        <w:rPr>
          <w:rFonts w:eastAsia="Times New Roman"/>
          <w:lang w:eastAsia="zh-CN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b/>
          <w:bCs/>
          <w:u w:val="single"/>
          <w:lang w:eastAsia="zh-CN"/>
        </w:rPr>
      </w:pPr>
      <w:r>
        <w:rPr>
          <w:rFonts w:eastAsia="Times New Roman"/>
          <w:b/>
          <w:bCs/>
          <w:u w:val="single"/>
          <w:lang w:eastAsia="zh-CN"/>
        </w:rPr>
        <w:t>Habilitação Trabalhista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color w:val="auto"/>
          <w:lang w:eastAsia="zh-CN"/>
        </w:rPr>
      </w:pPr>
      <w:r>
        <w:rPr>
          <w:rFonts w:eastAsia="Times New Roman"/>
          <w:color w:val="auto"/>
          <w:lang w:eastAsia="zh-CN"/>
        </w:rPr>
        <w:t xml:space="preserve">I - </w:t>
      </w:r>
      <w:bookmarkStart w:id="4" w:name="_Hlk167866112"/>
      <w:r>
        <w:rPr>
          <w:rFonts w:eastAsia="Times New Roman"/>
          <w:color w:val="auto"/>
          <w:lang w:eastAsia="zh-CN"/>
        </w:rPr>
        <w:t>Certidão Negativa de Débitos Trabalhistas</w:t>
      </w:r>
      <w:bookmarkEnd w:id="4"/>
      <w:r>
        <w:rPr>
          <w:rFonts w:eastAsia="Times New Roman"/>
          <w:color w:val="auto"/>
          <w:lang w:eastAsia="zh-CN"/>
        </w:rPr>
        <w:t>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color w:val="auto"/>
          <w:lang w:eastAsia="zh-CN"/>
        </w:rPr>
      </w:pPr>
      <w:r>
        <w:rPr>
          <w:rFonts w:eastAsia="Times New Roman"/>
          <w:color w:val="auto"/>
          <w:lang w:eastAsia="zh-CN"/>
        </w:rPr>
        <w:t>II - Declaração de cumprimento do disposto no inciso XXXIII do art. 7º da Constituição Federal (não emprega menor de idade).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color w:val="auto"/>
          <w:lang w:eastAsia="zh-CN"/>
        </w:rPr>
      </w:pPr>
      <w:r>
        <w:rPr>
          <w:rFonts w:eastAsia="Times New Roman"/>
          <w:color w:val="auto"/>
          <w:lang w:eastAsia="zh-CN"/>
        </w:rPr>
        <w:t xml:space="preserve">III - Declaração de cumprimento das exigências de reserva de cargos para pessoa com deficiência e para reabilitado da Previdência Social, de que trata o art. 93 da Lei n.º 8.213, de 24 de julho de 1991  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" w:eastAsiaTheme="minorEastAsia"/>
          <w:color w:val="FF0000"/>
        </w:rPr>
      </w:pPr>
      <w:r>
        <w:rPr>
          <w:rFonts w:eastAsia="" w:eastAsiaTheme="minorEastAsia"/>
          <w:color w:val="FF0000"/>
        </w:rPr>
      </w:r>
    </w:p>
    <w:p>
      <w:pPr>
        <w:pStyle w:val="Normal"/>
        <w:shd w:val="clear" w:color="auto" w:fill="FFFFFF" w:themeFill="background1"/>
        <w:spacing w:lineRule="auto" w:line="360"/>
        <w:ind w:firstLine="851"/>
        <w:jc w:val="both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SUBCONTRATAÇÃO</w:t>
      </w:r>
    </w:p>
    <w:p>
      <w:pPr>
        <w:pStyle w:val="Normal"/>
        <w:spacing w:lineRule="auto" w:line="360"/>
        <w:ind w:firstLine="851"/>
        <w:jc w:val="both"/>
        <w:rPr>
          <w:rFonts w:ascii="Arial" w:hAnsi="Arial" w:cs="Arial"/>
        </w:rPr>
      </w:pPr>
      <w:r>
        <w:rPr>
          <w:rFonts w:cs="Arial" w:ascii="Arial" w:hAnsi="Arial"/>
        </w:rPr>
        <w:t>Não é admitida a subcontratação do objeto contratual.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 w:before="0" w:after="0"/>
        <w:ind w:left="0" w:hanging="11"/>
        <w:outlineLvl w:val="9"/>
        <w:rPr/>
      </w:pPr>
      <w:r>
        <w:rPr>
          <w:b/>
          <w:bCs/>
        </w:rPr>
        <w:t xml:space="preserve">MODELO DE </w:t>
      </w:r>
      <w:r>
        <w:rPr>
          <w:b/>
          <w:bCs/>
          <w:color w:val="auto"/>
        </w:rPr>
        <w:t xml:space="preserve">EXECUÇÃO </w:t>
      </w:r>
      <w:r>
        <w:rPr>
          <w:b/>
          <w:bCs/>
        </w:rPr>
        <w:t xml:space="preserve">DO OBJETO </w:t>
      </w:r>
    </w:p>
    <w:p>
      <w:pPr>
        <w:pStyle w:val="Nivel2"/>
        <w:numPr>
          <w:ilvl w:val="0"/>
          <w:numId w:val="0"/>
        </w:numPr>
        <w:spacing w:lineRule="auto" w:line="240" w:before="0" w:after="0"/>
        <w:ind w:left="0" w:firstLine="709"/>
        <w:outlineLvl w:val="9"/>
        <w:rPr>
          <w:color w:val="auto"/>
        </w:rPr>
      </w:pPr>
      <w:r>
        <w:rPr>
          <w:color w:val="auto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outlineLvl w:val="9"/>
        <w:rPr>
          <w:color w:val="auto"/>
        </w:rPr>
      </w:pPr>
      <w:r>
        <w:rPr>
          <w:color w:val="auto"/>
        </w:rPr>
        <w:t>O prazo de entrega dos bens é de até 10 (dez) dias úteis, contados do envio da Nota de Empenho, em remessa única.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outlineLvl w:val="9"/>
        <w:rPr>
          <w:color w:val="auto"/>
        </w:rPr>
      </w:pPr>
      <w:r>
        <w:rPr>
          <w:color w:val="auto"/>
        </w:rPr>
        <w:t>Caso não seja possível a entrega na data assinalada, a empresa deverá comunicar as razões respectivas com pelo menos 02 (dois) dias de antecedência para que qualquer pleito de prorrogação de prazo seja analisado, ressalvadas situações de caso fortuito e força maior.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outlineLvl w:val="9"/>
        <w:rPr>
          <w:color w:val="auto"/>
        </w:rPr>
      </w:pPr>
      <w:r>
        <w:rPr>
          <w:color w:val="auto"/>
        </w:rPr>
        <w:t xml:space="preserve">Os bens deverão ser entregues no seguinte endereço: CÂMARA MUNICIPAL DE VEREADORES, situado na Avenida Sete de Setembro nº 1790, Centro, Sarandi-RS, CEP: 99560-000, aos cuidados da Secretaria 2, no período das 08h00min às 11h00min ou das 13h30min às 16h30min. 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outlineLvl w:val="9"/>
        <w:rPr/>
      </w:pPr>
      <w:r>
        <w:rPr/>
        <w:t>As comunicações entre o órgão ou entidade e a contratada devem ser realizadas por escrito sempre que o ato exigir tal formalidade, admitindo-se o uso de mensagem eletrônica para esse fim.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outlineLvl w:val="9"/>
        <w:rPr/>
      </w:pPr>
      <w:r>
        <w:rPr/>
        <w:t>O órgão ou entidade poderá convocar representante da empresa para adoção de providências que devam ser cumpridas de imediato.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 w:before="120" w:after="0"/>
        <w:ind w:left="0" w:firstLine="709"/>
        <w:jc w:val="both"/>
        <w:outlineLvl w:val="1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OBRIGAÇÕES DA CONTRATADA (EMPRESA)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 w:before="120" w:after="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A CONTRATADA cumprirá todas as obrigações constantes no Termo de Referência e na sua proposta, assumindo como exclusivamente seus os riscos e as despesas decorrentes da boa e perfeita execução do objeto.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Considerar os preços propostos completos e suficientes para a prestação de serviço desta contratação, sendo desconsiderada qualquer reivindicação de pagamento adicional devido a erro ou à má interpretação de parte da CONTRATADA;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Arcar com os encargos previdenciários, fiscais (ICMS e outros), comerciais, trabalhistas, tributários, itens, embalagens, tarifas, fretes, seguros, descarga, transporte, material, responsabilidade civil e outros resultantes da ata, bem como os riscos atinentes à atividade, inclusive quaisquer despesas que venham a incidir sobre os itens, objeto desta contratação;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Entende-se por encargos os tributos (impostos, taxas), contribuições fiscais e parafiscais, os instituídos por leis sociais, emolumentos, fornecimento de mão de obra especializada, administração, lucros, equipamentos e ferramental, transporte de material e de pessoal, estada, hospedagem, alimentação e qualquer despesa, acessória e/ou necessária, não especificada neste Termo de Referência;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Indenizar terceiros e ao CONTRATANTE os possíveis prejuízos ou danos, decorrentes de dolo ou culpa, durante a contratação, em conformidade com o artigo 120 da Lei n.º 14.133/21;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Arcar com todas as despesas necessárias à execução do objeto contratado;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Cumprir fielmente a ata, em compatibilidade com as obrigações assumidas;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Substituir o objeto avariado no prazo estabelecido neste Termo de Referência, ou não sendo possível, indenizar o valor correspondente acrescido de perdas e danos, mediante toda e qualquer impugnação feita pelo CONTRATANTE;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Prestar informações sobre a utilização do objeto;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Manter todas as condições de habilitação e qualificação exigidas na licitação, durante toda a execução da ata e em compatibilidade com as obrigações assumidas;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Responder pela qualidade, quantidade, validade, segurança e demais características do objeto, bem como a observação às normas técnicas;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Não subcontratar o objeto desta ata.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 xml:space="preserve">O prazo de garantia contratual dos bens, complementar à garantia legal, é de, no mínimo, 09 meses, ou pelo prazo fornecido pelo fabricante, se superior, contado a partir do primeiro dia útil subsequente à data do recebimento definitivo do objeto.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 xml:space="preserve">Os equipamentos que apresentarem vício ou defeito no período de vigência da garantia deverão ser substituídos por outros novas, de primeiro uso, e originais, que apresentem padrões de qualidade e desempenho iguais ou superiores aos das peças utilizadas na fabricação do equipamento, devendo p contratado disponibilizar equipamento equivalente, de especificação igual ou superior ao anteriormente fornecido, para utilização em caráter provisório pelo Contratante, de modo a garantir a continuidade dos trabalhos durante a substituição do equipamento.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O custo referente ao transporte dos equipamentos cobertos pela garantia será de responsabilidade do Contratado.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Informar ao setor financeiro da Secretaria requisitante, durante o período de vigência da ata, qualquer alteração de endereço, telefone, correio eletrônico (e-mail) ou outros dados.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OBRIGAÇÕES DO CONTRATANTE (CÂMARA MUNICIPAL)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 w:before="120" w:after="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Compete ao CONTRATANTE: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Receber, fiscalizar, orientar, contestar, dirimir dúvidas emergentes da execução do objeto contratado.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Receber o objeto e lavrar termo de recebimento provisório. Se o objeto contratado não estiver de acordo com as especificações do CONTRATANTE, rejeitá-lo, no todo ou em parte. Do contrário, após a análise de compatibilidade entre o contratado e o efetivamente entregue, será lavrado o termo de recebimento definitivo.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Permitir o acesso dos representantes da ADJUDICATÁRIA ao local de entrega, desde que devidamente identificados.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Comunicar à CONTRATADA, por escrito, sobre imperfeições, falhas ou irregularidades verificadas no objeto fornecido, para que seja substituído, reparado ou corrigido.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Efetuar o pagamento à CONTRATADA no valor correspondente ao fornecimento do objeto, no prazo e forma estabelecidos neste Termo de Referência.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O CONTRATANTE não responderá por quaisquer compromissos assumidos pela CONTRATADA com terceiros, ainda que vinculados à execução do presente Termo de Referência, bem como por qualquer dano causado a terceiros em decorrência de ato da CONTRATADA, de seus empregados, prepostos ou subordinados.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SANÇÕES</w:t>
      </w:r>
    </w:p>
    <w:p>
      <w:pPr>
        <w:pStyle w:val="Normal"/>
        <w:tabs>
          <w:tab w:val="clear" w:pos="708"/>
          <w:tab w:val="left" w:pos="733" w:leader="none"/>
        </w:tabs>
        <w:spacing w:lineRule="auto" w:line="360"/>
        <w:ind w:firstLine="851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 xml:space="preserve">Nos termos do art. 155 da Lei Federal 14.133/2021, o descumprimento total ou parcial das obrigações assumidas pela CONTRATADA, sem justificativa aceita, poderá acarretar as seguintes sanções: </w:t>
      </w:r>
    </w:p>
    <w:p>
      <w:pPr>
        <w:pStyle w:val="ListParagraph"/>
        <w:tabs>
          <w:tab w:val="clear" w:pos="708"/>
          <w:tab w:val="left" w:pos="733" w:leader="none"/>
        </w:tabs>
        <w:spacing w:lineRule="auto" w:line="360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ab/>
        <w:t xml:space="preserve">a) Dar causa à inexecução parcial do contrato; </w:t>
      </w:r>
    </w:p>
    <w:p>
      <w:pPr>
        <w:pStyle w:val="ListParagraph"/>
        <w:tabs>
          <w:tab w:val="clear" w:pos="708"/>
          <w:tab w:val="left" w:pos="733" w:leader="none"/>
        </w:tabs>
        <w:spacing w:lineRule="auto" w:line="360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ab/>
        <w:t xml:space="preserve">b) Dar causa à inexecução parcial do contrato que cause grave dano à Administração, o funcionamento dos serviços públicos ou ao interesse coletivo; </w:t>
      </w:r>
    </w:p>
    <w:p>
      <w:pPr>
        <w:pStyle w:val="ListParagraph"/>
        <w:tabs>
          <w:tab w:val="clear" w:pos="708"/>
          <w:tab w:val="left" w:pos="733" w:leader="none"/>
        </w:tabs>
        <w:spacing w:lineRule="auto" w:line="360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ab/>
        <w:t xml:space="preserve">c) Dar causa à inexecução total do contrato; </w:t>
      </w:r>
    </w:p>
    <w:p>
      <w:pPr>
        <w:pStyle w:val="ListParagraph"/>
        <w:tabs>
          <w:tab w:val="clear" w:pos="708"/>
          <w:tab w:val="left" w:pos="733" w:leader="none"/>
        </w:tabs>
        <w:spacing w:lineRule="auto" w:line="360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ab/>
        <w:t xml:space="preserve">d) Não manter a proposta, salvo em decorrência de fato superveniente devidamente justificado; </w:t>
      </w:r>
    </w:p>
    <w:p>
      <w:pPr>
        <w:pStyle w:val="ListParagraph"/>
        <w:tabs>
          <w:tab w:val="clear" w:pos="708"/>
          <w:tab w:val="left" w:pos="733" w:leader="none"/>
        </w:tabs>
        <w:spacing w:lineRule="auto" w:line="360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ab/>
        <w:t xml:space="preserve">e) Não celebrar o contrato ou não entregar a documentação exigida para a contratação, quando convocado dentro do prazo de validade de sua proposta; </w:t>
      </w:r>
    </w:p>
    <w:p>
      <w:pPr>
        <w:pStyle w:val="ListParagraph"/>
        <w:tabs>
          <w:tab w:val="clear" w:pos="708"/>
          <w:tab w:val="left" w:pos="733" w:leader="none"/>
        </w:tabs>
        <w:spacing w:lineRule="auto" w:line="360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ab/>
        <w:t xml:space="preserve">f) Ensejar o retardamento da execução ou da entrega do objeto da licitação sem motivo justificado; </w:t>
      </w:r>
    </w:p>
    <w:p>
      <w:pPr>
        <w:pStyle w:val="ListParagraph"/>
        <w:tabs>
          <w:tab w:val="clear" w:pos="708"/>
          <w:tab w:val="left" w:pos="733" w:leader="none"/>
        </w:tabs>
        <w:spacing w:lineRule="auto" w:line="360"/>
        <w:ind w:left="0" w:hanging="0"/>
        <w:jc w:val="both"/>
        <w:rPr>
          <w:rFonts w:ascii="Arial" w:hAnsi="Arial" w:cs="Arial"/>
          <w:lang w:val="pt-PT"/>
        </w:rPr>
      </w:pPr>
      <w:r>
        <w:rPr>
          <w:rFonts w:cs="Arial" w:ascii="Arial" w:hAnsi="Arial"/>
          <w:lang w:val="pt-PT"/>
        </w:rPr>
        <w:tab/>
        <w:t xml:space="preserve">g) Praticar atos ilícitos com vistas a frustrar os objetivos da licitação; </w:t>
      </w:r>
    </w:p>
    <w:p>
      <w:pPr>
        <w:pStyle w:val="ListParagraph"/>
        <w:tabs>
          <w:tab w:val="clear" w:pos="708"/>
          <w:tab w:val="left" w:pos="733" w:leader="none"/>
        </w:tabs>
        <w:spacing w:lineRule="auto" w:line="360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ab/>
        <w:t xml:space="preserve">h) Praticar ato lesivo previsto no art. 5º da Lei nº 12.846, de 1º de agosto de 2013. </w:t>
      </w:r>
    </w:p>
    <w:p>
      <w:pPr>
        <w:pStyle w:val="Normal"/>
        <w:tabs>
          <w:tab w:val="clear" w:pos="708"/>
          <w:tab w:val="left" w:pos="733" w:leader="none"/>
        </w:tabs>
        <w:spacing w:lineRule="auto" w:line="360"/>
        <w:ind w:firstLine="709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 xml:space="preserve">Serão aplicadas ao responsável pelas infrações administrativas previstas acima, as seguintes penalidades, nos limites previstos no art. 156 da Lei Federal 14.133/2021. </w:t>
      </w:r>
    </w:p>
    <w:p>
      <w:pPr>
        <w:pStyle w:val="ListParagraph"/>
        <w:tabs>
          <w:tab w:val="clear" w:pos="708"/>
          <w:tab w:val="left" w:pos="733" w:leader="none"/>
        </w:tabs>
        <w:spacing w:lineRule="auto" w:line="360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ab/>
        <w:t xml:space="preserve">a) O valor da multa, aplicada será descontado imediatamente no pagamento subsequente, sendo ainda aplicado juros de mora de 1,00% (um por cento) ao mês, ou 0,0333% por dia de atraso. </w:t>
      </w:r>
    </w:p>
    <w:p>
      <w:pPr>
        <w:pStyle w:val="ListParagraph"/>
        <w:tabs>
          <w:tab w:val="clear" w:pos="708"/>
          <w:tab w:val="left" w:pos="733" w:leader="none"/>
        </w:tabs>
        <w:spacing w:lineRule="auto" w:line="360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ab/>
        <w:t xml:space="preserve">b) Na impossibilidade de desconto no pagamento subsequente, será liquidado do seguro caução previsto neste instrumento. </w:t>
      </w:r>
    </w:p>
    <w:p>
      <w:pPr>
        <w:pStyle w:val="ListParagraph"/>
        <w:tabs>
          <w:tab w:val="clear" w:pos="708"/>
          <w:tab w:val="left" w:pos="733" w:leader="none"/>
        </w:tabs>
        <w:spacing w:lineRule="auto" w:line="360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ab/>
        <w:t xml:space="preserve">c) As sanções previstas nestes instrumentos poderão ser aplicadas cumulativamente, exceto as multas escalonadas por datas, e a multa de advertência. 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outlineLvl w:val="9"/>
        <w:rPr/>
      </w:pPr>
      <w:r>
        <w:rPr>
          <w:lang w:val="pt-PT"/>
        </w:rPr>
        <w:t>d) No caso de multa, cuja apuração ainda esteja em processamento, ou seja, na fase da defesa prévia, o CONTRATANTE poderá fazer a retenção do valor correspondente à multa, até a decisão final da defesa prévia. Caso a defesa prévia seja aceita, ou aceita parcialmente, pelo CONTRATANTE, o valor retido correspondente será depositado em favor da CONTRATADA, em até 05 (cinco) dias úteis a contar da data da decisão final da defesa apresentada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outlineLvl w:val="9"/>
        <w:rPr/>
      </w:pPr>
      <w:r>
        <w:rPr/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 w:before="0" w:after="0"/>
        <w:ind w:left="0" w:hanging="0"/>
        <w:outlineLvl w:val="9"/>
        <w:rPr/>
      </w:pPr>
      <w:r>
        <w:rPr>
          <w:b/>
          <w:bCs/>
        </w:rPr>
        <w:t xml:space="preserve">MODELO DE </w:t>
      </w:r>
      <w:r>
        <w:rPr>
          <w:b/>
          <w:bCs/>
          <w:color w:val="auto"/>
        </w:rPr>
        <w:t xml:space="preserve">GESTÃO </w:t>
      </w:r>
      <w:r>
        <w:rPr>
          <w:b/>
          <w:bCs/>
        </w:rPr>
        <w:t xml:space="preserve">DO CONTRATO </w:t>
      </w:r>
    </w:p>
    <w:p>
      <w:pPr>
        <w:pStyle w:val="Nivel2"/>
        <w:numPr>
          <w:ilvl w:val="0"/>
          <w:numId w:val="0"/>
        </w:numPr>
        <w:spacing w:lineRule="auto" w:line="240" w:before="0" w:after="0"/>
        <w:ind w:left="0" w:firstLine="851"/>
        <w:rPr/>
      </w:pPr>
      <w:r>
        <w:rPr/>
      </w:r>
    </w:p>
    <w:p>
      <w:pPr>
        <w:pStyle w:val="Nivel2"/>
        <w:numPr>
          <w:ilvl w:val="0"/>
          <w:numId w:val="0"/>
        </w:numPr>
        <w:spacing w:lineRule="auto" w:line="360" w:before="120" w:after="0"/>
        <w:ind w:left="0" w:firstLine="851"/>
        <w:rPr/>
      </w:pPr>
      <w:r>
        <w:rPr/>
        <w:t>O contrato deverá ser executado fielmente pelas partes, de acordo com as cláusulas avençadas e as normas da Lei nº 14.133, de 2021, e cada parte responderá pelas consequências de sua inexecução total ou parcial, nos termos do Artigo 115 da Lei nº 14.133/2021.</w:t>
      </w:r>
    </w:p>
    <w:p>
      <w:pPr>
        <w:pStyle w:val="Nvel2-Red"/>
        <w:numPr>
          <w:ilvl w:val="0"/>
          <w:numId w:val="0"/>
        </w:numPr>
        <w:spacing w:lineRule="auto" w:line="360" w:before="0" w:after="0"/>
        <w:ind w:left="0" w:hanging="0"/>
        <w:outlineLvl w:val="9"/>
        <w:rPr/>
      </w:pPr>
      <w:r>
        <w:rPr/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before="0" w:after="0"/>
        <w:ind w:left="0" w:hanging="11"/>
        <w:rPr>
          <w:b/>
          <w:bCs/>
        </w:rPr>
      </w:pPr>
      <w:r>
        <w:rPr>
          <w:b/>
          <w:bCs/>
        </w:rPr>
        <w:t>CRITÉRIOS DE PAGAMENTO</w:t>
      </w:r>
    </w:p>
    <w:p>
      <w:pPr>
        <w:pStyle w:val="Nivel2"/>
        <w:numPr>
          <w:ilvl w:val="0"/>
          <w:numId w:val="0"/>
        </w:numPr>
        <w:spacing w:lineRule="auto" w:line="240" w:before="0" w:after="0"/>
        <w:ind w:left="0" w:firstLine="709"/>
        <w:rPr>
          <w:b/>
          <w:bCs/>
        </w:rPr>
      </w:pPr>
      <w:r>
        <w:rPr>
          <w:b/>
          <w:bCs/>
        </w:rPr>
      </w:r>
    </w:p>
    <w:p>
      <w:pPr>
        <w:pStyle w:val="Nivel2"/>
        <w:numPr>
          <w:ilvl w:val="0"/>
          <w:numId w:val="0"/>
        </w:numPr>
        <w:spacing w:lineRule="auto" w:line="360" w:before="120" w:after="0"/>
        <w:ind w:left="0" w:firstLine="709"/>
        <w:rPr>
          <w:b/>
          <w:bCs/>
        </w:rPr>
      </w:pPr>
      <w:r>
        <w:rPr>
          <w:b/>
          <w:bCs/>
        </w:rPr>
        <w:t>DO PAGAMENTO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hanging="0"/>
        <w:rPr/>
      </w:pPr>
      <w:r>
        <w:rPr/>
        <w:tab/>
        <w:t>O pagamento será efetuado em até 10 (dez) dias após a efetiva entrega dos equipamentos, mediante nota fiscal e autorização da Câmara de Vereadores.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hanging="0"/>
        <w:rPr/>
      </w:pPr>
      <w:r>
        <w:rPr/>
        <w:tab/>
        <w:t>A Nota Fiscal emitida pelo fornecedor deverá conter, em local de fácil visualização, a indicação do n.º do Processo de Dispensa de Licitação, a fim de se acelerar o trâmite de recebimento do material e posterior liberação do documento fiscal para pagamento.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eastAsia="Times New Roman"/>
          <w:b/>
          <w:bCs/>
          <w:lang w:eastAsia="zh-CN"/>
        </w:rPr>
      </w:pPr>
      <w:r>
        <w:rPr>
          <w:rFonts w:eastAsia="Times New Roman"/>
          <w:b/>
          <w:bCs/>
          <w:lang w:eastAsia="zh-CN"/>
        </w:rPr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 w:before="120" w:after="0"/>
        <w:ind w:left="0" w:hanging="11"/>
        <w:rPr>
          <w:rFonts w:eastAsia="" w:eastAsiaTheme="minorEastAsia"/>
          <w:b/>
          <w:bCs/>
          <w:color w:val="auto"/>
        </w:rPr>
      </w:pPr>
      <w:r>
        <w:rPr>
          <w:b/>
          <w:bCs/>
        </w:rPr>
        <w:t>FORMA E CRITÉRIOS DE SELEÇÃO DO FORNECEDOR</w:t>
      </w:r>
    </w:p>
    <w:p>
      <w:pPr>
        <w:pStyle w:val="Nivel2"/>
        <w:numPr>
          <w:ilvl w:val="0"/>
          <w:numId w:val="0"/>
        </w:numPr>
        <w:spacing w:lineRule="auto" w:line="240" w:before="0" w:after="0"/>
        <w:ind w:left="0" w:hanging="0"/>
        <w:rPr>
          <w:rFonts w:eastAsia="Times New Roman"/>
          <w:color w:val="auto"/>
          <w:lang w:eastAsia="zh-CN"/>
        </w:rPr>
      </w:pPr>
      <w:r>
        <w:rPr>
          <w:rFonts w:eastAsia="Times New Roman"/>
          <w:color w:val="auto"/>
          <w:lang w:eastAsia="zh-CN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eastAsia="Times New Roman"/>
          <w:color w:val="auto"/>
          <w:lang w:eastAsia="zh-CN"/>
        </w:rPr>
      </w:pPr>
      <w:r>
        <w:rPr>
          <w:rFonts w:eastAsia="Times New Roman"/>
          <w:color w:val="auto"/>
          <w:lang w:eastAsia="zh-CN"/>
        </w:rPr>
        <w:t>O fornecedor será selecionado por meio da escolha da proposta mais vantajosa, após a abertura de prazo mínimo de três dias úteis para recebimento de propostas adicionais pela Câmara, através de aviso de intenção de compra que deverá ser disponibilizado em sítio eletrônico. O processo adotado é o de DISPENSA DE LICITAÇÃO, sob a forma PRESENCIAL, com adoção do critério de julgamento pelo MENOR PREÇO POR ITEM.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highlight w:val="lightGray"/>
        </w:rPr>
      </w:pPr>
      <w:r>
        <w:rPr>
          <w:highlight w:val="lightGray"/>
        </w:rPr>
      </w:r>
    </w:p>
    <w:p>
      <w:pPr>
        <w:pStyle w:val="ListParagraph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  <w:tab w:val="left" w:pos="567" w:leader="none"/>
        </w:tabs>
        <w:spacing w:lineRule="auto" w:line="360" w:before="120" w:after="0"/>
        <w:ind w:left="0" w:hanging="11"/>
        <w:contextualSpacing/>
        <w:jc w:val="both"/>
        <w:outlineLvl w:val="1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ESTIMATIVAS DO VALOR DA CONTRATAÇÃO</w:t>
      </w:r>
    </w:p>
    <w:p>
      <w:pPr>
        <w:pStyle w:val="Normal"/>
        <w:numPr>
          <w:ilvl w:val="0"/>
          <w:numId w:val="0"/>
        </w:numPr>
        <w:spacing w:lineRule="auto" w:line="360"/>
        <w:ind w:left="0" w:firstLine="709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 xml:space="preserve">O custo médio estimado total da contratação é de aproximadamente R$ </w:t>
      </w:r>
      <w:r>
        <w:rPr>
          <w:rFonts w:eastAsia="SimSun" w:cs="Arial" w:ascii="Arial" w:hAnsi="Arial"/>
          <w:b w:val="false"/>
          <w:bCs w:val="false"/>
          <w:color w:val="000000"/>
          <w:sz w:val="24"/>
          <w:szCs w:val="24"/>
          <w:shd w:fill="auto" w:val="clear"/>
          <w:lang w:val="pt-BR"/>
        </w:rPr>
        <w:t>1.316,69</w:t>
      </w:r>
      <w:r>
        <w:rPr>
          <w:rFonts w:cs="Arial" w:ascii="Arial" w:hAnsi="Arial"/>
        </w:rPr>
        <w:t xml:space="preserve"> conforme custos abaixo:</w:t>
      </w:r>
    </w:p>
    <w:p>
      <w:pPr>
        <w:pStyle w:val="Normal"/>
        <w:numPr>
          <w:ilvl w:val="0"/>
          <w:numId w:val="0"/>
        </w:numPr>
        <w:ind w:left="0" w:firstLine="709"/>
        <w:jc w:val="both"/>
        <w:outlineLvl w:val="1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before="0" w:after="200"/>
        <w:jc w:val="center"/>
        <w:rPr>
          <w:rFonts w:ascii="Arial" w:hAnsi="Arial" w:eastAsia="Calibri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Bebedouro de Bombona</w:t>
      </w:r>
    </w:p>
    <w:tbl>
      <w:tblPr>
        <w:tblStyle w:val="Tabelacomgrade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88"/>
        <w:gridCol w:w="1219"/>
        <w:gridCol w:w="1869"/>
        <w:gridCol w:w="1868"/>
      </w:tblGrid>
      <w:tr>
        <w:trPr/>
        <w:tc>
          <w:tcPr>
            <w:tcW w:w="4388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Empresa</w:t>
            </w:r>
          </w:p>
        </w:tc>
        <w:tc>
          <w:tcPr>
            <w:tcW w:w="1219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Quant.</w:t>
            </w:r>
          </w:p>
        </w:tc>
        <w:tc>
          <w:tcPr>
            <w:tcW w:w="1869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Valor Uni.</w:t>
            </w:r>
          </w:p>
        </w:tc>
        <w:tc>
          <w:tcPr>
            <w:tcW w:w="1868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Valor Total</w:t>
            </w:r>
          </w:p>
        </w:tc>
      </w:tr>
      <w:tr>
        <w:trPr/>
        <w:tc>
          <w:tcPr>
            <w:tcW w:w="4388" w:type="dxa"/>
            <w:tcBorders/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sz w:val="22"/>
                <w:szCs w:val="22"/>
                <w:lang w:val="pt-BR" w:bidi="ar-SA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Benoit Eletrodomésticos LTDA</w:t>
            </w:r>
          </w:p>
        </w:tc>
        <w:tc>
          <w:tcPr>
            <w:tcW w:w="1219" w:type="dxa"/>
            <w:tcBorders/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sz w:val="22"/>
                <w:szCs w:val="22"/>
                <w:lang w:val="pt-BR" w:bidi="ar-SA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01</w:t>
            </w:r>
          </w:p>
        </w:tc>
        <w:tc>
          <w:tcPr>
            <w:tcW w:w="1869" w:type="dxa"/>
            <w:tcBorders/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sz w:val="22"/>
                <w:szCs w:val="22"/>
                <w:lang w:val="pt-BR" w:bidi="ar-SA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R$ 950,00</w:t>
            </w:r>
          </w:p>
        </w:tc>
        <w:tc>
          <w:tcPr>
            <w:tcW w:w="1868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R$ 950,00</w:t>
            </w:r>
          </w:p>
        </w:tc>
      </w:tr>
      <w:tr>
        <w:trPr/>
        <w:tc>
          <w:tcPr>
            <w:tcW w:w="4388" w:type="dxa"/>
            <w:tcBorders/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sz w:val="22"/>
                <w:szCs w:val="22"/>
                <w:lang w:val="pt-BR" w:bidi="ar-SA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Lojas Quero-Quero</w:t>
            </w:r>
          </w:p>
        </w:tc>
        <w:tc>
          <w:tcPr>
            <w:tcW w:w="1219" w:type="dxa"/>
            <w:tcBorders/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sz w:val="22"/>
                <w:szCs w:val="22"/>
                <w:lang w:val="pt-BR" w:bidi="ar-SA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01</w:t>
            </w:r>
          </w:p>
        </w:tc>
        <w:tc>
          <w:tcPr>
            <w:tcW w:w="1869" w:type="dxa"/>
            <w:tcBorders/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sz w:val="22"/>
                <w:szCs w:val="22"/>
                <w:lang w:val="pt-BR" w:bidi="ar-SA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R$ 830,00</w:t>
            </w:r>
          </w:p>
        </w:tc>
        <w:tc>
          <w:tcPr>
            <w:tcW w:w="1868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R$ 830,00</w:t>
            </w:r>
          </w:p>
        </w:tc>
      </w:tr>
      <w:tr>
        <w:trPr/>
        <w:tc>
          <w:tcPr>
            <w:tcW w:w="4388" w:type="dxa"/>
            <w:tcBorders/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sz w:val="22"/>
                <w:szCs w:val="22"/>
                <w:lang w:val="pt-BR" w:bidi="ar-SA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Guiomar Luiz Campeol - ME</w:t>
            </w:r>
          </w:p>
        </w:tc>
        <w:tc>
          <w:tcPr>
            <w:tcW w:w="1219" w:type="dxa"/>
            <w:tcBorders/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sz w:val="22"/>
                <w:szCs w:val="22"/>
                <w:lang w:val="pt-BR" w:bidi="ar-SA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01</w:t>
            </w:r>
          </w:p>
        </w:tc>
        <w:tc>
          <w:tcPr>
            <w:tcW w:w="1869" w:type="dxa"/>
            <w:tcBorders/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sz w:val="22"/>
                <w:szCs w:val="22"/>
                <w:lang w:val="pt-BR" w:bidi="ar-SA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R$ 978,00</w:t>
            </w:r>
          </w:p>
        </w:tc>
        <w:tc>
          <w:tcPr>
            <w:tcW w:w="1868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R$ 978,00</w:t>
            </w:r>
          </w:p>
        </w:tc>
      </w:tr>
      <w:tr>
        <w:trPr/>
        <w:tc>
          <w:tcPr>
            <w:tcW w:w="5607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sz w:val="22"/>
                <w:szCs w:val="22"/>
                <w:lang w:val="pt-BR" w:bidi="ar-SA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PREÇO MÉDIO</w:t>
            </w:r>
          </w:p>
        </w:tc>
        <w:tc>
          <w:tcPr>
            <w:tcW w:w="1869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sz w:val="22"/>
                <w:szCs w:val="22"/>
                <w:lang w:val="pt-BR" w:bidi="ar-SA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R$ 919,33</w:t>
            </w:r>
          </w:p>
        </w:tc>
        <w:tc>
          <w:tcPr>
            <w:tcW w:w="1868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R$ 919,33</w:t>
            </w:r>
          </w:p>
        </w:tc>
      </w:tr>
    </w:tbl>
    <w:p>
      <w:pPr>
        <w:pStyle w:val="Normal"/>
        <w:jc w:val="center"/>
        <w:rPr>
          <w:rFonts w:ascii="Arial" w:hAnsi="Arial" w:eastAsia="Calibri" w:cs="Arial"/>
          <w:sz w:val="22"/>
          <w:szCs w:val="22"/>
          <w:lang w:eastAsia="en-US"/>
        </w:rPr>
      </w:pPr>
      <w:r>
        <w:rPr>
          <w:rFonts w:eastAsia="Calibri" w:cs="Arial" w:ascii="Arial" w:hAnsi="Arial"/>
          <w:sz w:val="22"/>
          <w:szCs w:val="22"/>
          <w:lang w:eastAsia="en-US"/>
        </w:rPr>
      </w:r>
    </w:p>
    <w:p>
      <w:pPr>
        <w:pStyle w:val="Normal"/>
        <w:spacing w:before="0" w:after="20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Chaleira Elétrica</w:t>
      </w:r>
    </w:p>
    <w:tbl>
      <w:tblPr>
        <w:tblStyle w:val="Tabelacomgrade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50"/>
        <w:gridCol w:w="1260"/>
        <w:gridCol w:w="1866"/>
        <w:gridCol w:w="1868"/>
      </w:tblGrid>
      <w:tr>
        <w:trPr/>
        <w:tc>
          <w:tcPr>
            <w:tcW w:w="4350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Empresa</w:t>
            </w:r>
          </w:p>
        </w:tc>
        <w:tc>
          <w:tcPr>
            <w:tcW w:w="1260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Quant.</w:t>
            </w:r>
          </w:p>
        </w:tc>
        <w:tc>
          <w:tcPr>
            <w:tcW w:w="1866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Valor Uni.</w:t>
            </w:r>
          </w:p>
        </w:tc>
        <w:tc>
          <w:tcPr>
            <w:tcW w:w="1868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pt-BR" w:bidi="ar-SA"/>
              </w:rPr>
              <w:t>Valor Total</w:t>
            </w:r>
          </w:p>
        </w:tc>
      </w:tr>
      <w:tr>
        <w:trPr/>
        <w:tc>
          <w:tcPr>
            <w:tcW w:w="4350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Benoit Eletrodomésticos LTDA</w:t>
            </w:r>
          </w:p>
        </w:tc>
        <w:tc>
          <w:tcPr>
            <w:tcW w:w="1260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02</w:t>
            </w:r>
          </w:p>
        </w:tc>
        <w:tc>
          <w:tcPr>
            <w:tcW w:w="186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Arial" w:hAnsi="Arial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Arial" w:hAnsi="Arial"/>
                <w:kern w:val="0"/>
                <w:sz w:val="24"/>
                <w:szCs w:val="24"/>
                <w:shd w:fill="auto" w:val="clear"/>
                <w:lang w:val="pt-BR" w:eastAsia="en-US" w:bidi="ar-SA"/>
              </w:rPr>
              <w:t>R$ 199,90</w:t>
            </w:r>
          </w:p>
        </w:tc>
        <w:tc>
          <w:tcPr>
            <w:tcW w:w="186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Arial" w:hAnsi="Arial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Arial" w:hAnsi="Arial"/>
                <w:b/>
                <w:bCs/>
                <w:kern w:val="0"/>
                <w:sz w:val="24"/>
                <w:szCs w:val="24"/>
                <w:shd w:fill="auto" w:val="clear"/>
                <w:lang w:val="pt-BR" w:eastAsia="en-US" w:bidi="ar-SA"/>
              </w:rPr>
              <w:t>R$ 399,80</w:t>
            </w:r>
          </w:p>
        </w:tc>
      </w:tr>
      <w:tr>
        <w:trPr/>
        <w:tc>
          <w:tcPr>
            <w:tcW w:w="4350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Colombo Lojas</w:t>
            </w:r>
          </w:p>
        </w:tc>
        <w:tc>
          <w:tcPr>
            <w:tcW w:w="1260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02</w:t>
            </w:r>
          </w:p>
        </w:tc>
        <w:tc>
          <w:tcPr>
            <w:tcW w:w="186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Arial" w:hAnsi="Arial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Arial" w:hAnsi="Arial"/>
                <w:kern w:val="0"/>
                <w:sz w:val="24"/>
                <w:szCs w:val="24"/>
                <w:shd w:fill="auto" w:val="clear"/>
                <w:lang w:val="pt-BR" w:eastAsia="en-US" w:bidi="ar-SA"/>
              </w:rPr>
              <w:t>R$ 199,90</w:t>
            </w:r>
          </w:p>
        </w:tc>
        <w:tc>
          <w:tcPr>
            <w:tcW w:w="186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Arial" w:hAnsi="Arial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Arial" w:hAnsi="Arial"/>
                <w:b/>
                <w:bCs/>
                <w:kern w:val="0"/>
                <w:sz w:val="24"/>
                <w:szCs w:val="24"/>
                <w:shd w:fill="auto" w:val="clear"/>
                <w:lang w:val="pt-BR" w:eastAsia="en-US" w:bidi="ar-SA"/>
              </w:rPr>
              <w:t>R$ 399,80</w:t>
            </w:r>
          </w:p>
        </w:tc>
      </w:tr>
      <w:tr>
        <w:trPr/>
        <w:tc>
          <w:tcPr>
            <w:tcW w:w="4350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Lojas Quero-Quero</w:t>
            </w:r>
          </w:p>
        </w:tc>
        <w:tc>
          <w:tcPr>
            <w:tcW w:w="1260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02</w:t>
            </w:r>
          </w:p>
        </w:tc>
        <w:tc>
          <w:tcPr>
            <w:tcW w:w="186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Arial" w:hAnsi="Arial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Arial" w:hAnsi="Arial"/>
                <w:kern w:val="0"/>
                <w:sz w:val="24"/>
                <w:szCs w:val="24"/>
                <w:shd w:fill="auto" w:val="clear"/>
                <w:lang w:val="pt-BR" w:eastAsia="en-US" w:bidi="ar-SA"/>
              </w:rPr>
              <w:t>R$ 199,90</w:t>
            </w:r>
          </w:p>
        </w:tc>
        <w:tc>
          <w:tcPr>
            <w:tcW w:w="186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Arial" w:hAnsi="Arial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Arial" w:hAnsi="Arial"/>
                <w:b/>
                <w:bCs/>
                <w:kern w:val="0"/>
                <w:sz w:val="24"/>
                <w:szCs w:val="24"/>
                <w:shd w:fill="auto" w:val="clear"/>
                <w:lang w:val="pt-BR" w:eastAsia="en-US" w:bidi="ar-SA"/>
              </w:rPr>
              <w:t>R$ 399,80</w:t>
            </w:r>
          </w:p>
        </w:tc>
      </w:tr>
      <w:tr>
        <w:trPr/>
        <w:tc>
          <w:tcPr>
            <w:tcW w:w="4350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Guiomar Luiz Campeol - ME</w:t>
            </w:r>
          </w:p>
        </w:tc>
        <w:tc>
          <w:tcPr>
            <w:tcW w:w="1260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02</w:t>
            </w:r>
          </w:p>
        </w:tc>
        <w:tc>
          <w:tcPr>
            <w:tcW w:w="186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Arial" w:hAnsi="Arial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Arial" w:hAnsi="Arial"/>
                <w:kern w:val="0"/>
                <w:sz w:val="24"/>
                <w:szCs w:val="24"/>
                <w:shd w:fill="auto" w:val="clear"/>
                <w:lang w:val="pt-BR" w:eastAsia="en-US" w:bidi="ar-SA"/>
                <w14:ligatures w14:val="none"/>
              </w:rPr>
              <w:t>R$ 195,00</w:t>
            </w:r>
          </w:p>
        </w:tc>
        <w:tc>
          <w:tcPr>
            <w:tcW w:w="186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Arial" w:hAnsi="Arial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Arial" w:hAnsi="Arial"/>
                <w:b/>
                <w:bCs/>
                <w:kern w:val="0"/>
                <w:sz w:val="24"/>
                <w:szCs w:val="24"/>
                <w:shd w:fill="auto" w:val="clear"/>
                <w:lang w:val="pt-BR" w:eastAsia="en-US" w:bidi="ar-SA"/>
                <w14:ligatures w14:val="none"/>
              </w:rPr>
              <w:t>R$ 390,00</w:t>
            </w:r>
          </w:p>
        </w:tc>
      </w:tr>
      <w:tr>
        <w:trPr/>
        <w:tc>
          <w:tcPr>
            <w:tcW w:w="5610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PREÇO MÉDIO</w:t>
            </w:r>
          </w:p>
        </w:tc>
        <w:tc>
          <w:tcPr>
            <w:tcW w:w="1866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Arial" w:hAnsi="Arial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Arial" w:hAnsi="Arial"/>
                <w:kern w:val="0"/>
                <w:sz w:val="24"/>
                <w:szCs w:val="24"/>
                <w:shd w:fill="auto" w:val="clear"/>
                <w:lang w:val="pt-BR" w:eastAsia="en-US" w:bidi="ar-SA"/>
              </w:rPr>
              <w:t>R$ 198,68</w:t>
            </w:r>
          </w:p>
        </w:tc>
        <w:tc>
          <w:tcPr>
            <w:tcW w:w="1868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Arial" w:hAnsi="Arial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Arial" w:hAnsi="Arial"/>
                <w:b/>
                <w:bCs/>
                <w:kern w:val="0"/>
                <w:sz w:val="24"/>
                <w:szCs w:val="24"/>
                <w:shd w:fill="auto" w:val="clear"/>
                <w:lang w:val="pt-BR" w:eastAsia="en-US" w:bidi="ar-SA"/>
              </w:rPr>
              <w:t>R$ 397,36</w:t>
            </w:r>
          </w:p>
        </w:tc>
      </w:tr>
    </w:tbl>
    <w:p>
      <w:pPr>
        <w:pStyle w:val="Normal"/>
        <w:jc w:val="center"/>
        <w:rPr>
          <w:rFonts w:ascii="Arial" w:hAnsi="Arial" w:eastAsia="Calibri" w:cs="Arial"/>
          <w:sz w:val="22"/>
          <w:szCs w:val="22"/>
          <w:lang w:eastAsia="en-US"/>
        </w:rPr>
      </w:pPr>
      <w:r>
        <w:rPr>
          <w:rFonts w:eastAsia="Calibri" w:cs="Arial" w:ascii="Arial" w:hAnsi="Arial"/>
          <w:sz w:val="22"/>
          <w:szCs w:val="22"/>
          <w:lang w:eastAsia="en-US"/>
        </w:rPr>
      </w:r>
    </w:p>
    <w:p>
      <w:pPr>
        <w:pStyle w:val="Normal"/>
        <w:spacing w:before="0" w:after="20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  <w:tab w:val="left" w:pos="567" w:leader="none"/>
        </w:tabs>
        <w:spacing w:lineRule="auto" w:line="360" w:before="120" w:after="0"/>
        <w:ind w:left="0" w:hanging="0"/>
        <w:jc w:val="both"/>
        <w:outlineLvl w:val="1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ADEQUAÇÃO ORÇAMENTÁRIA</w:t>
      </w:r>
    </w:p>
    <w:p>
      <w:pPr>
        <w:pStyle w:val="Normal"/>
        <w:numPr>
          <w:ilvl w:val="0"/>
          <w:numId w:val="0"/>
        </w:numPr>
        <w:ind w:left="0" w:firstLine="709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0"/>
        </w:numPr>
        <w:spacing w:lineRule="auto" w:line="360"/>
        <w:ind w:left="0" w:firstLine="709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>As despesas decorrentes da presente contratação correrão à conta de recursos específicos consignados no Orçamento da Câmara de Vereadores de Sarandi, nas dotações informadas na Declaração/Adequação Orçamentária apresentada, conforme abaixo:</w:t>
      </w:r>
    </w:p>
    <w:p>
      <w:pPr>
        <w:pStyle w:val="Standard"/>
        <w:spacing w:lineRule="auto" w:line="360"/>
        <w:jc w:val="both"/>
        <w:rPr>
          <w:rFonts w:ascii="Arial" w:hAnsi="Arial" w:cs="Arial"/>
          <w:b/>
          <w:bCs/>
          <w:color w:val="000000"/>
        </w:rPr>
      </w:pPr>
      <w:r>
        <w:rPr>
          <w:rFonts w:cs="Arial" w:ascii="Arial" w:hAnsi="Arial"/>
          <w:b/>
          <w:bCs/>
          <w:color w:val="000000"/>
        </w:rPr>
      </w:r>
    </w:p>
    <w:p>
      <w:pPr>
        <w:pStyle w:val="Standard"/>
        <w:jc w:val="both"/>
        <w:rPr>
          <w:rFonts w:ascii="Arial" w:hAnsi="Arial" w:cs="Arial"/>
          <w:b/>
          <w:bCs/>
          <w:color w:val="000000"/>
        </w:rPr>
      </w:pPr>
      <w:r>
        <w:rPr>
          <w:rFonts w:cs="Arial" w:ascii="Arial" w:hAnsi="Arial"/>
          <w:b/>
          <w:bCs/>
          <w:color w:val="000000"/>
        </w:rPr>
        <w:t>Item 1 – Bebedouro</w:t>
      </w:r>
    </w:p>
    <w:p>
      <w:pPr>
        <w:pStyle w:val="Standard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0101.01.031.0100.1002.4.4.90.52.34 – Máquinas, utensílios e equipamentos  diversos</w:t>
      </w:r>
    </w:p>
    <w:p>
      <w:pPr>
        <w:pStyle w:val="Standard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Total empenhado no item específico: R$ 0,00</w:t>
      </w:r>
    </w:p>
    <w:p>
      <w:pPr>
        <w:pStyle w:val="Standard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Saldo da natureza: R$ 148.114,00</w:t>
      </w:r>
    </w:p>
    <w:p>
      <w:pPr>
        <w:pStyle w:val="Standard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Standard"/>
        <w:jc w:val="both"/>
        <w:rPr>
          <w:rFonts w:ascii="Arial" w:hAnsi="Arial" w:cs="Arial"/>
          <w:b/>
          <w:bCs/>
          <w:color w:val="000000"/>
        </w:rPr>
      </w:pPr>
      <w:r>
        <w:rPr>
          <w:rFonts w:cs="Arial" w:ascii="Arial" w:hAnsi="Arial"/>
          <w:b/>
          <w:bCs/>
          <w:color w:val="000000"/>
        </w:rPr>
        <w:t>Itens 2 e 3 – Chaleira Elétrica e Garrafa Térmica</w:t>
      </w:r>
    </w:p>
    <w:p>
      <w:pPr>
        <w:pStyle w:val="Standard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0101.01.031.0100.2001.3.3.90.30.21 – Material de copa e cozinha</w:t>
      </w:r>
    </w:p>
    <w:p>
      <w:pPr>
        <w:pStyle w:val="Standard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Total empenhado no item específico: R$ 499,40</w:t>
      </w:r>
    </w:p>
    <w:p>
      <w:pPr>
        <w:pStyle w:val="Standard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Saldo da natureza: R$ 102.324,80</w:t>
      </w:r>
    </w:p>
    <w:p>
      <w:pPr>
        <w:pStyle w:val="Normal"/>
        <w:numPr>
          <w:ilvl w:val="0"/>
          <w:numId w:val="0"/>
        </w:numPr>
        <w:spacing w:lineRule="auto" w:line="360"/>
        <w:ind w:left="0" w:firstLine="709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0"/>
        </w:numPr>
        <w:spacing w:lineRule="auto" w:line="360"/>
        <w:ind w:left="0" w:firstLine="709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0"/>
        </w:numPr>
        <w:spacing w:lineRule="auto" w:line="360"/>
        <w:ind w:left="0" w:firstLine="709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jc w:val="right"/>
        <w:rPr/>
      </w:pPr>
      <w:r>
        <w:rPr/>
        <w:t>Sarandi/RS, 17 de junho de 2024.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/>
      </w:pPr>
      <w:r>
        <w:rPr/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/>
      </w:pPr>
      <w:r>
        <w:rPr/>
      </w:r>
    </w:p>
    <w:p>
      <w:pPr>
        <w:pStyle w:val="Normal"/>
        <w:ind w:firstLine="709"/>
        <w:jc w:val="center"/>
        <w:rPr>
          <w:rFonts w:ascii="Arial" w:hAnsi="Arial" w:eastAsia="Arial" w:cs="Arial"/>
        </w:rPr>
      </w:pPr>
      <w:r>
        <w:rPr>
          <w:rFonts w:eastAsia="Arial" w:cs="Arial" w:ascii="Arial" w:hAnsi="Arial"/>
        </w:rPr>
        <w:t>________________________</w:t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  <w:t>Maurilia Rebonatto</w:t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  <w:t>Assessora de Procuradoria</w:t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  <w:r>
        <w:br w:type="page"/>
      </w:r>
    </w:p>
    <w:p>
      <w:pPr>
        <w:pStyle w:val="Normal"/>
        <w:spacing w:lineRule="auto" w:line="360"/>
        <w:jc w:val="center"/>
        <w:rPr>
          <w:rFonts w:ascii="Arial" w:hAnsi="Arial"/>
          <w:sz w:val="24"/>
          <w:szCs w:val="24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 xml:space="preserve">ANEXO II </w:t>
      </w:r>
    </w:p>
    <w:p>
      <w:pPr>
        <w:pStyle w:val="Normal"/>
        <w:spacing w:lineRule="auto" w:line="360"/>
        <w:jc w:val="center"/>
        <w:rPr>
          <w:rFonts w:cs="Times New Roman"/>
          <w:b/>
          <w:bCs/>
          <w:lang w:eastAsia="en-US"/>
        </w:rPr>
      </w:pPr>
      <w:r>
        <w:rPr>
          <w:rFonts w:cs="Times New Roman"/>
          <w:b/>
          <w:bCs/>
          <w:lang w:eastAsia="en-US"/>
        </w:rPr>
      </w:r>
    </w:p>
    <w:p>
      <w:pPr>
        <w:pStyle w:val="Normal"/>
        <w:spacing w:lineRule="auto" w:line="360"/>
        <w:jc w:val="center"/>
        <w:rPr>
          <w:rFonts w:ascii="Arial" w:hAnsi="Arial"/>
          <w:sz w:val="24"/>
          <w:szCs w:val="24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>MODELO DE PROPOSTA</w:t>
      </w:r>
    </w:p>
    <w:p>
      <w:pPr>
        <w:pStyle w:val="Normal"/>
        <w:spacing w:lineRule="auto" w:line="360"/>
        <w:jc w:val="both"/>
        <w:rPr>
          <w:rFonts w:ascii="Arial" w:hAnsi="Arial" w:cs="Times New Roman"/>
          <w:b/>
          <w:bCs/>
          <w:sz w:val="24"/>
          <w:szCs w:val="24"/>
          <w:lang w:eastAsia="en-US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</w:r>
    </w:p>
    <w:p>
      <w:pPr>
        <w:pStyle w:val="Normal"/>
        <w:spacing w:lineRule="auto" w:line="360"/>
        <w:jc w:val="both"/>
        <w:rPr>
          <w:rFonts w:ascii="Arial" w:hAnsi="Arial" w:cs="Times New Roman"/>
          <w:b/>
          <w:bCs/>
          <w:sz w:val="24"/>
          <w:szCs w:val="24"/>
          <w:lang w:eastAsia="en-US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À CÂMARA MUNICIPAL DE SARANDI (RS)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/>
      </w:pPr>
      <w:r>
        <w:rPr>
          <w:rStyle w:val="Fontepargpadro"/>
          <w:rFonts w:eastAsia="Arial" w:ascii="Arial" w:hAnsi="Arial"/>
          <w:sz w:val="24"/>
          <w:szCs w:val="24"/>
        </w:rPr>
        <w:t>DISPENSA DE LICITAÇÃO N.</w:t>
      </w:r>
      <w:r>
        <w:rPr>
          <w:rStyle w:val="Fontepargpadro"/>
          <w:rFonts w:eastAsia="Arial" w:ascii="Arial" w:hAnsi="Arial"/>
          <w:position w:val="6"/>
          <w:sz w:val="24"/>
          <w:szCs w:val="24"/>
          <w:u w:val="single"/>
        </w:rPr>
        <w:t>o</w:t>
      </w:r>
      <w:r>
        <w:rPr>
          <w:rStyle w:val="Fontepargpadro"/>
          <w:rFonts w:eastAsia="Arial" w:ascii="Arial" w:hAnsi="Arial"/>
          <w:sz w:val="24"/>
          <w:szCs w:val="24"/>
        </w:rPr>
        <w:t xml:space="preserve"> 04/2024</w:t>
      </w:r>
    </w:p>
    <w:p>
      <w:pPr>
        <w:pStyle w:val="Normal"/>
        <w:spacing w:lineRule="auto" w:line="360" w:before="0" w:after="0"/>
        <w:jc w:val="center"/>
        <w:rPr>
          <w:rFonts w:ascii="Arial" w:hAnsi="Arial"/>
          <w:color w:val="000000"/>
          <w:kern w:val="0"/>
          <w:sz w:val="24"/>
          <w:szCs w:val="24"/>
        </w:rPr>
      </w:pPr>
      <w:r>
        <w:rPr>
          <w:rFonts w:ascii="Arial" w:hAnsi="Arial"/>
          <w:color w:val="000000"/>
          <w:kern w:val="0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Arial" w:hAnsi="Arial"/>
          <w:color w:val="000000"/>
          <w:kern w:val="0"/>
          <w:sz w:val="24"/>
          <w:szCs w:val="24"/>
        </w:rPr>
      </w:pPr>
      <w:r>
        <w:rPr>
          <w:rFonts w:ascii="Arial" w:hAnsi="Arial"/>
          <w:color w:val="000000"/>
          <w:kern w:val="0"/>
          <w:sz w:val="24"/>
          <w:szCs w:val="24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jc w:val="both"/>
        <w:rPr/>
      </w:pPr>
      <w:r>
        <w:rPr>
          <w:rStyle w:val="Fontepargpadro"/>
          <w:rFonts w:cs="Times New Roman" w:ascii="Arial" w:hAnsi="Arial"/>
          <w:b w:val="false"/>
          <w:bCs w:val="false"/>
          <w:sz w:val="24"/>
          <w:szCs w:val="24"/>
          <w:lang w:eastAsia="en-US"/>
        </w:rPr>
        <w:t>A empresa .................................................................., CNPJ  n.º ............................................................, com sede à rua ............................................…………...., na cidade de .....................………….., vem por meio desta, apresentar proposta para participação na Dispensa de Licitação n.º 04</w:t>
      </w:r>
      <w:r>
        <w:rPr>
          <w:rStyle w:val="Fontepargpadro"/>
          <w:rFonts w:eastAsia="Arial" w:cs="Times New Roman" w:ascii="Arial" w:hAnsi="Arial"/>
          <w:b w:val="false"/>
          <w:bCs w:val="false"/>
          <w:sz w:val="24"/>
          <w:szCs w:val="24"/>
          <w:lang w:eastAsia="en-US"/>
        </w:rPr>
        <w:t>/2024.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jc w:val="both"/>
        <w:rPr>
          <w:rFonts w:ascii="Arial" w:hAnsi="Arial" w:eastAsia="Arial" w:cs="Times New Roman"/>
          <w:b/>
          <w:bCs/>
          <w:color w:val="000000"/>
          <w:sz w:val="24"/>
          <w:szCs w:val="24"/>
          <w:lang w:eastAsia="en-US"/>
        </w:rPr>
      </w:pPr>
      <w:r>
        <w:rPr>
          <w:rFonts w:eastAsia="Arial" w:cs="Times New Roman" w:ascii="Arial" w:hAnsi="Arial"/>
          <w:b/>
          <w:bCs/>
          <w:color w:val="000000"/>
          <w:sz w:val="24"/>
          <w:szCs w:val="24"/>
          <w:lang w:eastAsia="en-US"/>
        </w:rPr>
      </w:r>
    </w:p>
    <w:tbl>
      <w:tblPr>
        <w:tblW w:w="10033" w:type="dxa"/>
        <w:jc w:val="left"/>
        <w:tblInd w:w="-2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683"/>
        <w:gridCol w:w="4200"/>
        <w:gridCol w:w="684"/>
        <w:gridCol w:w="1932"/>
        <w:gridCol w:w="1233"/>
        <w:gridCol w:w="1300"/>
      </w:tblGrid>
      <w:tr>
        <w:trPr>
          <w:trHeight w:val="390" w:hRule="atLeast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</w:rPr>
            </w:pPr>
            <w:r>
              <w:rPr>
                <w:rFonts w:eastAsia="Times New Roman" w:cs="Times New Roman" w:ascii="Arial" w:hAnsi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4200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</w:rPr>
            </w:pPr>
            <w:r>
              <w:rPr>
                <w:rFonts w:eastAsia="Times New Roman" w:cs="Times New Roman" w:ascii="Arial" w:hAnsi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684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</w:rPr>
            </w:pPr>
            <w:r>
              <w:rPr>
                <w:rFonts w:eastAsia="Times New Roman" w:cs="Times New Roman" w:ascii="Arial" w:hAnsi="Arial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8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</w:rPr>
            </w:pPr>
            <w:r>
              <w:rPr>
                <w:rFonts w:eastAsia="Times New Roman" w:cs="Times New Roman" w:ascii="Arial" w:hAnsi="Arial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233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VALOR UN. (R$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</w:rPr>
            </w:pPr>
            <w:r>
              <w:rPr>
                <w:rFonts w:eastAsia="Times New Roman" w:cs="Times New Roman" w:ascii="Arial" w:hAnsi="Arial"/>
                <w:b/>
                <w:bCs/>
                <w:sz w:val="20"/>
                <w:szCs w:val="20"/>
              </w:rPr>
              <w:t>TOTAL</w:t>
            </w:r>
          </w:p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</w:rPr>
            </w:pPr>
            <w:r>
              <w:rPr>
                <w:rFonts w:eastAsia="Times New Roman" w:cs="Times New Roman" w:ascii="Arial" w:hAnsi="Arial"/>
                <w:b/>
                <w:bCs/>
                <w:sz w:val="20"/>
                <w:szCs w:val="20"/>
              </w:rPr>
              <w:t>(R$)</w:t>
            </w:r>
          </w:p>
        </w:tc>
      </w:tr>
      <w:tr>
        <w:trPr>
          <w:trHeight w:val="615" w:hRule="atLeast"/>
        </w:trPr>
        <w:tc>
          <w:tcPr>
            <w:tcW w:w="683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  <w:t>1</w:t>
            </w:r>
          </w:p>
        </w:tc>
        <w:tc>
          <w:tcPr>
            <w:tcW w:w="4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160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sz w:val="20"/>
                <w:szCs w:val="20"/>
                <w:lang w:val="pt-BR" w:bidi="ar-SA"/>
              </w:rPr>
              <w:t>Bebedouro elétrico</w:t>
            </w:r>
            <w:r>
              <w:rPr>
                <w:rFonts w:eastAsia="Times New Roman" w:cs="Arial" w:ascii="Arial" w:hAnsi="Arial"/>
                <w:sz w:val="20"/>
                <w:szCs w:val="20"/>
                <w:lang w:val="pt-BR" w:bidi="ar-SA"/>
              </w:rPr>
              <w:t xml:space="preserve"> de coluna, compatível com bombonas de 20 litros, para fornecimento de água gelada e natural.</w:t>
            </w:r>
          </w:p>
        </w:tc>
        <w:tc>
          <w:tcPr>
            <w:tcW w:w="6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  <w:t>1</w:t>
            </w:r>
          </w:p>
        </w:tc>
        <w:tc>
          <w:tcPr>
            <w:tcW w:w="1932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23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30" w:hRule="atLeast"/>
        </w:trPr>
        <w:tc>
          <w:tcPr>
            <w:tcW w:w="683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  <w:t>2</w:t>
            </w:r>
          </w:p>
        </w:tc>
        <w:tc>
          <w:tcPr>
            <w:tcW w:w="4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pt-BR" w:bidi="ar-SA"/>
              </w:rPr>
              <w:t>Chaleira Elétrica</w:t>
            </w:r>
            <w:r>
              <w:rPr>
                <w:rFonts w:eastAsia="Times New Roman" w:cs="Arial" w:ascii="Arial" w:hAnsi="Arial"/>
                <w:sz w:val="20"/>
                <w:szCs w:val="20"/>
                <w:lang w:val="pt-BR" w:bidi="ar-SA"/>
              </w:rPr>
              <w:t>, com termostato, capacidade mínima de 1,7 litros e máxima de 2 litros, destinada ao aquecimento rápido de água.</w:t>
            </w:r>
          </w:p>
        </w:tc>
        <w:tc>
          <w:tcPr>
            <w:tcW w:w="6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  <w:t>2</w:t>
            </w:r>
          </w:p>
        </w:tc>
        <w:tc>
          <w:tcPr>
            <w:tcW w:w="1932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23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00" w:hRule="atLeast"/>
        </w:trPr>
        <w:tc>
          <w:tcPr>
            <w:tcW w:w="873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</w:rPr>
            </w:pPr>
            <w:r>
              <w:rPr>
                <w:rFonts w:eastAsia="Times New Roman" w:cs="Times New Roman" w:ascii="Arial" w:hAnsi="Arial"/>
                <w:b/>
                <w:bCs/>
                <w:sz w:val="20"/>
                <w:szCs w:val="20"/>
              </w:rPr>
              <w:t>TOTAL</w:t>
            </w:r>
          </w:p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300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widowControl w:val="false"/>
        <w:spacing w:lineRule="exact" w:line="300"/>
        <w:rPr>
          <w:rFonts w:ascii="Arial" w:hAnsi="Arial" w:cs="Aptos Display" w:cstheme="majorHAnsi"/>
          <w:bCs/>
          <w:sz w:val="20"/>
        </w:rPr>
      </w:pPr>
      <w:r>
        <w:rPr>
          <w:rFonts w:cs="Aptos Display" w:cstheme="majorHAnsi" w:ascii="Arial" w:hAnsi="Arial"/>
          <w:bCs/>
          <w:sz w:val="20"/>
        </w:rPr>
      </w:r>
    </w:p>
    <w:p>
      <w:pPr>
        <w:pStyle w:val="Normal"/>
        <w:widowControl w:val="false"/>
        <w:spacing w:lineRule="exact" w:line="300"/>
        <w:rPr>
          <w:rFonts w:ascii="Arial" w:hAnsi="Arial" w:cs="Aptos Display" w:cstheme="majorHAnsi"/>
          <w:bCs/>
          <w:sz w:val="20"/>
        </w:rPr>
      </w:pPr>
      <w:r>
        <w:rPr>
          <w:rFonts w:cs="Aptos Display" w:cstheme="majorHAnsi" w:ascii="Arial" w:hAnsi="Arial"/>
          <w:bCs/>
          <w:sz w:val="20"/>
        </w:rPr>
      </w:r>
    </w:p>
    <w:p>
      <w:pPr>
        <w:pStyle w:val="Normal"/>
        <w:widowControl w:val="false"/>
        <w:spacing w:lineRule="exact" w:line="300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Cs/>
          <w:sz w:val="24"/>
          <w:szCs w:val="24"/>
        </w:rPr>
        <w:t>Data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Cs/>
          <w:sz w:val="24"/>
          <w:szCs w:val="24"/>
        </w:rPr>
        <w:t>Assinatura do representante legal/Carimbo</w:t>
      </w:r>
      <w:r>
        <w:br w:type="page"/>
      </w:r>
    </w:p>
    <w:p>
      <w:pPr>
        <w:pStyle w:val="Normal"/>
        <w:widowControl w:val="false"/>
        <w:spacing w:lineRule="auto" w:line="36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/>
          <w:bCs/>
          <w:sz w:val="24"/>
          <w:szCs w:val="24"/>
        </w:rPr>
        <w:t xml:space="preserve">ANEXO III </w:t>
      </w:r>
    </w:p>
    <w:p>
      <w:pPr>
        <w:pStyle w:val="Normal"/>
        <w:widowControl w:val="false"/>
        <w:spacing w:lineRule="auto" w:line="360"/>
        <w:jc w:val="center"/>
        <w:rPr>
          <w:rFonts w:cs="Aptos Display" w:cstheme="majorHAnsi"/>
          <w:b/>
          <w:bCs/>
        </w:rPr>
      </w:pPr>
      <w:r>
        <w:rPr>
          <w:rFonts w:cs="Aptos Display" w:cstheme="majorHAnsi"/>
          <w:b/>
          <w:bCs/>
        </w:rPr>
      </w:r>
    </w:p>
    <w:p>
      <w:pPr>
        <w:pStyle w:val="Normal"/>
        <w:widowControl w:val="false"/>
        <w:spacing w:lineRule="auto" w:line="360"/>
        <w:jc w:val="center"/>
        <w:rPr/>
      </w:pPr>
      <w:r>
        <w:rPr>
          <w:rStyle w:val="Fontepargpadro"/>
          <w:rFonts w:cs="Times New Roman" w:ascii="Arial" w:hAnsi="Arial"/>
          <w:b/>
          <w:bCs/>
          <w:sz w:val="24"/>
          <w:szCs w:val="24"/>
          <w:lang w:eastAsia="ar-SA"/>
        </w:rPr>
        <w:t>D</w:t>
      </w:r>
      <w:r>
        <w:rPr>
          <w:rStyle w:val="Fontepargpadro"/>
          <w:rFonts w:cs="Times New Roman" w:ascii="Arial" w:hAnsi="Arial"/>
          <w:b/>
          <w:bCs/>
          <w:sz w:val="24"/>
          <w:szCs w:val="24"/>
          <w:shd w:fill="FFFFFF" w:val="clear"/>
          <w:lang w:eastAsia="ar-SA"/>
        </w:rPr>
        <w:t>eclaração de inexistência de fato impeditivo para licitar ou contratar com a Administração Pública e de</w:t>
      </w: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  <w:t xml:space="preserve"> pleno conhecimento e aceitação das regras e das condições gerais da contratação, constantes do procedimento;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À CÂMARA MUNICIPAL DE SARANDI (RS)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/>
      </w:pPr>
      <w:r>
        <w:rPr>
          <w:rStyle w:val="Fontepargpadro"/>
          <w:rFonts w:eastAsia="Arial" w:cs="Times New Roman" w:ascii="Arial" w:hAnsi="Arial"/>
          <w:b/>
          <w:bCs/>
          <w:sz w:val="24"/>
          <w:szCs w:val="24"/>
          <w:highlight w:val="white"/>
          <w:lang w:val="pt-PT" w:eastAsia="ar-SA"/>
        </w:rPr>
        <w:t>DISPENSA DE LICITAÇÃO N.º 04/2024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0" w:right="0" w:firstLine="709"/>
        <w:jc w:val="both"/>
        <w:rPr/>
      </w:pPr>
      <w:r>
        <w:rPr>
          <w:rStyle w:val="Fontepargpadro"/>
          <w:rFonts w:ascii="Arial" w:hAnsi="Arial"/>
          <w:sz w:val="24"/>
          <w:szCs w:val="24"/>
        </w:rPr>
        <w:t>Declaramos que não existem fatos impeditivos quanto à habilitação, participação e contratação com a Câmara Municipal de Sarandi(RS), comprometendo-nos a mantermos nessa condição até o término da contratação, bem como que aceitamos integralmente os termos e condições da presente Licitação, bem como as disposições contidas na Lei n.º 14.133/21 e suas alterações.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0" w:right="0" w:firstLine="709"/>
        <w:jc w:val="both"/>
        <w:rPr/>
      </w:pP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  <w:t>Por ser verdade, firmamos a presente declaração para que produza seus efeitos de direito.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0" w:right="0" w:firstLine="709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0" w:right="0" w:firstLine="709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 w:val="false"/>
        <w:spacing w:lineRule="exact" w:line="300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Cs/>
          <w:sz w:val="24"/>
          <w:szCs w:val="24"/>
        </w:rPr>
        <w:t>Data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Cs/>
          <w:sz w:val="24"/>
          <w:szCs w:val="24"/>
        </w:rPr>
        <w:t>Assinatura do representante legal/Carimbo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 w:val="false"/>
          <w:bCs/>
          <w:sz w:val="24"/>
          <w:szCs w:val="24"/>
          <w:highlight w:val="white"/>
          <w:lang w:val="pt-PT" w:eastAsia="ar-SA"/>
        </w:rPr>
      </w:pPr>
      <w:r>
        <w:rPr>
          <w:rFonts w:cs="Aptos Display" w:cstheme="majorHAnsi" w:ascii="Arial" w:hAnsi="Arial"/>
          <w:b w:val="false"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 w:val="false"/>
        <w:spacing w:lineRule="exact" w:line="300"/>
        <w:jc w:val="center"/>
        <w:rPr>
          <w:rStyle w:val="Fontepargpadro"/>
          <w:rFonts w:ascii="Arial" w:hAnsi="Arial" w:cs="Aptos Display" w:cstheme="majorHAnsi"/>
          <w:b w:val="false"/>
          <w:bCs/>
          <w:sz w:val="20"/>
          <w:szCs w:val="24"/>
          <w:highlight w:val="white"/>
          <w:lang w:val="pt-PT" w:eastAsia="ar-SA"/>
        </w:rPr>
      </w:pPr>
      <w:r>
        <w:rPr>
          <w:rFonts w:cs="Aptos Display" w:cstheme="majorHAnsi" w:ascii="Arial" w:hAnsi="Arial"/>
          <w:b w:val="false"/>
          <w:bCs/>
          <w:sz w:val="20"/>
          <w:szCs w:val="24"/>
          <w:highlight w:val="white"/>
          <w:lang w:val="pt-PT" w:eastAsia="ar-SA"/>
        </w:rPr>
      </w:r>
      <w:r>
        <w:br w:type="page"/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center"/>
        <w:rPr/>
      </w:pP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  <w:t>ANEXO IV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center"/>
        <w:rPr>
          <w:rStyle w:val="Fontepargpadro"/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center"/>
        <w:rPr/>
      </w:pP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shd w:fill="FFFFFF" w:val="clear"/>
          <w:lang w:val="pt-PT" w:eastAsia="ar-SA"/>
        </w:rPr>
        <w:t>Declaração de</w:t>
      </w: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  <w:t xml:space="preserve"> cumprimento do disposto no </w:t>
      </w:r>
      <w:r>
        <w:rPr>
          <w:rStyle w:val="Nfase"/>
          <w:rFonts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  <w:t>inciso XXXIII do art. 7º da Constituição Federal (não emprega menor de idade).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cs="Times New Roman"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cs="Times New Roman"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À CÂMARA MUNICIPAL DE SARANDI (RS)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/>
      </w:pPr>
      <w:r>
        <w:rPr>
          <w:rStyle w:val="Fontepargpadro"/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  <w:t>DISPENSA DE LICITAÇÃO N.º 04/2024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 w:eastAsia="Arial" w:cs="Times New Roman"/>
          <w:b/>
          <w:bCs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 w:eastAsia="Arial" w:cs="Times New Roman"/>
          <w:b/>
          <w:bCs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Corpodotexto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30" w:right="0" w:hanging="0"/>
        <w:jc w:val="both"/>
        <w:rPr/>
      </w:pPr>
      <w:r>
        <w:rPr>
          <w:rStyle w:val="Fontepargpadro"/>
          <w:rFonts w:eastAsia="Arial" w:cs="Times New Roman" w:ascii="Arial" w:hAnsi="Arial"/>
          <w:b w:val="false"/>
          <w:bCs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  <w:tab/>
        <w:t>A empresa …………………………………………………….., inscrita no CNPJ sob o n.º ……………………………………………. declara, em atendimento ao previsto na licitação em epígrafe, que não possui em seu quadro de pessoal, empregados com menos de 18 (dezoito) anos em trabalho noturno, perigoso ou insalubre e de 14 (quatorze) em qualquer trabalho, salvo na condição de aprendiz, nos termos do inciso XXXIII do art. 7º da Constituição Federal de 1988.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cs="Times New Roman"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sz w:val="24"/>
          <w:szCs w:val="24"/>
          <w:lang w:eastAsia="en-US"/>
        </w:rPr>
      </w:pPr>
      <w:r>
        <w:rPr>
          <w:rFonts w:cs="Times New Roman" w:ascii="Arial" w:hAnsi="Arial"/>
          <w:b/>
          <w:sz w:val="24"/>
          <w:szCs w:val="24"/>
          <w:lang w:eastAsia="en-US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sz w:val="24"/>
          <w:szCs w:val="24"/>
          <w:lang w:eastAsia="en-US"/>
        </w:rPr>
      </w:pPr>
      <w:r>
        <w:rPr>
          <w:rFonts w:cs="Times New Roman" w:ascii="Arial" w:hAnsi="Arial"/>
          <w:b/>
          <w:sz w:val="24"/>
          <w:szCs w:val="24"/>
          <w:lang w:eastAsia="en-US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Cs/>
          <w:sz w:val="24"/>
          <w:szCs w:val="24"/>
        </w:rPr>
        <w:t>Data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Aptos Display" w:ascii="Arial" w:hAnsi="Arial" w:cstheme="majorHAnsi"/>
          <w:bCs/>
          <w:sz w:val="24"/>
          <w:szCs w:val="24"/>
        </w:rPr>
        <w:t>Assinatura do representante legal/Carimbo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 w:val="false"/>
          <w:bCs/>
          <w:sz w:val="24"/>
          <w:szCs w:val="24"/>
          <w:highlight w:val="white"/>
          <w:lang w:val="pt-PT" w:eastAsia="ar-SA"/>
        </w:rPr>
      </w:pPr>
      <w:r>
        <w:rPr>
          <w:rFonts w:cs="Aptos Display" w:cstheme="majorHAnsi" w:ascii="Arial" w:hAnsi="Arial"/>
          <w:b w:val="false"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 w:val="false"/>
        <w:spacing w:lineRule="exact" w:line="300"/>
        <w:jc w:val="center"/>
        <w:rPr>
          <w:rStyle w:val="Fontepargpadro"/>
          <w:rFonts w:ascii="Arial" w:hAnsi="Arial" w:cs="Aptos Display" w:cstheme="majorHAnsi"/>
          <w:b w:val="false"/>
          <w:bCs/>
          <w:i w:val="false"/>
          <w:i w:val="false"/>
          <w:iCs w:val="false"/>
          <w:color w:val="000000"/>
          <w:spacing w:val="0"/>
          <w:sz w:val="20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cs="Aptos Display" w:cstheme="majorHAnsi" w:ascii="Arial" w:hAnsi="Arial"/>
          <w:b w:val="false"/>
          <w:bCs/>
          <w:i w:val="false"/>
          <w:iCs w:val="false"/>
          <w:color w:val="000000"/>
          <w:spacing w:val="0"/>
          <w:sz w:val="20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701" w:right="1133" w:gutter="0" w:header="0" w:top="2127" w:footer="0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ptos">
    <w:charset w:val="00"/>
    <w:family w:val="roman"/>
    <w:pitch w:val="variable"/>
  </w:font>
  <w:font w:name="Ecofont_Spranq_eco_Sans">
    <w:charset w:val="00"/>
    <w:family w:val="roman"/>
    <w:pitch w:val="variable"/>
  </w:font>
  <w:font w:name="Aptos Display">
    <w:charset w:val="00"/>
    <w:family w:val="roman"/>
    <w:pitch w:val="variable"/>
  </w:font>
  <w:font w:name="Arial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0" w:firstLine="397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  <w:rPr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rFonts w:ascii="Times New Roman" w:hAnsi="Times New Roman"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94" w:firstLine="397"/>
      </w:pPr>
      <w:rPr>
        <w:dstrike w:val="false"/>
        <w:strike w:val="false"/>
        <w:sz w:val="24"/>
        <w:i w:val="false"/>
        <w:u w:val="none"/>
        <w:b w:val="false"/>
        <w:effect w:val="none"/>
        <w:szCs w:val="24"/>
        <w:rFonts w:ascii="Times New Roman" w:hAnsi="Times New Roman" w:cs="Times New Roman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191" w:firstLine="397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588" w:firstLine="397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985" w:firstLine="397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382" w:firstLine="397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779" w:firstLine="397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176" w:firstLine="397"/>
      </w:pPr>
      <w:rPr/>
    </w:lvl>
  </w:abstractNum>
  <w:abstractNum w:abstractNumId="2"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6456" w:hanging="360"/>
      </w:pPr>
      <w:rPr>
        <w:color w:val="auto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173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0"/>
        </w:tabs>
        <w:ind w:left="-5724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-5724" w:hanging="720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-5364" w:hanging="1080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-5364" w:hanging="1080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-5004" w:hanging="144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-5004" w:hanging="144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-4644" w:hanging="180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6456" w:hanging="360"/>
      </w:pPr>
      <w:rPr>
        <w:color w:val="auto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173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0"/>
        </w:tabs>
        <w:ind w:left="-5724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-5724" w:hanging="720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-5364" w:hanging="1080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-5364" w:hanging="1080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-5004" w:hanging="144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-5004" w:hanging="144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-4644" w:hanging="180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6456" w:hanging="360"/>
      </w:pPr>
      <w:rPr>
        <w:color w:val="auto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173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0"/>
        </w:tabs>
        <w:ind w:left="-5724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-5724" w:hanging="720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-5364" w:hanging="1080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-5364" w:hanging="1080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-5004" w:hanging="144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-5004" w:hanging="144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-4644" w:hanging="180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3"/>
    <w:lvlOverride w:ilvl="0">
      <w:startOverride w:val="1"/>
    </w:lvlOverride>
  </w:num>
  <w:num w:numId="8">
    <w:abstractNumId w:val="3"/>
  </w:num>
  <w:num w:numId="9">
    <w:abstractNumId w:val="3"/>
  </w:num>
</w:numbering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13c8d"/>
    <w:pPr>
      <w:widowControl/>
      <w:suppressAutoHyphens w:val="true"/>
      <w:bidi w:val="0"/>
      <w:spacing w:lineRule="auto" w:line="240" w:before="0" w:after="0"/>
      <w:jc w:val="left"/>
    </w:pPr>
    <w:rPr>
      <w:rFonts w:ascii="Ecofont_Spranq_eco_Sans" w:hAnsi="Ecofont_Spranq_eco_Sans" w:eastAsia="" w:cs="Tahoma" w:eastAsiaTheme="minorEastAsia"/>
      <w:color w:val="auto"/>
      <w:kern w:val="0"/>
      <w:sz w:val="24"/>
      <w:szCs w:val="24"/>
      <w:lang w:val="pt-BR" w:eastAsia="pt-BR" w:bidi="ar-SA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f0ef3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f0ef3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f0ef3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f0ef3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f0ef3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f0ef3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f0ef3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f0ef3"/>
    <w:pPr>
      <w:keepNext w:val="true"/>
      <w:keepLines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f0ef3"/>
    <w:pPr>
      <w:keepNext w:val="true"/>
      <w:keepLines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uiPriority w:val="9"/>
    <w:qFormat/>
    <w:rsid w:val="00ff0ef3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Ttulo2Char" w:customStyle="1">
    <w:name w:val="Título 2 Char"/>
    <w:basedOn w:val="DefaultParagraphFont"/>
    <w:uiPriority w:val="9"/>
    <w:semiHidden/>
    <w:qFormat/>
    <w:rsid w:val="00ff0ef3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Ttulo3Char" w:customStyle="1">
    <w:name w:val="Título 3 Char"/>
    <w:basedOn w:val="DefaultParagraphFont"/>
    <w:uiPriority w:val="9"/>
    <w:semiHidden/>
    <w:qFormat/>
    <w:rsid w:val="00ff0ef3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Ttulo4Char" w:customStyle="1">
    <w:name w:val="Título 4 Char"/>
    <w:basedOn w:val="DefaultParagraphFont"/>
    <w:uiPriority w:val="9"/>
    <w:semiHidden/>
    <w:qFormat/>
    <w:rsid w:val="00ff0ef3"/>
    <w:rPr>
      <w:rFonts w:eastAsia="" w:cs="" w:cstheme="majorBidi" w:eastAsiaTheme="majorEastAsia"/>
      <w:i/>
      <w:iCs/>
      <w:color w:val="0F4761" w:themeColor="accent1" w:themeShade="bf"/>
    </w:rPr>
  </w:style>
  <w:style w:type="character" w:styleId="Ttulo5Char" w:customStyle="1">
    <w:name w:val="Título 5 Char"/>
    <w:basedOn w:val="DefaultParagraphFont"/>
    <w:uiPriority w:val="9"/>
    <w:semiHidden/>
    <w:qFormat/>
    <w:rsid w:val="00ff0ef3"/>
    <w:rPr>
      <w:rFonts w:eastAsia="" w:cs="" w:cstheme="majorBidi" w:eastAsiaTheme="majorEastAsia"/>
      <w:color w:val="0F4761" w:themeColor="accent1" w:themeShade="bf"/>
    </w:rPr>
  </w:style>
  <w:style w:type="character" w:styleId="Ttulo6Char" w:customStyle="1">
    <w:name w:val="Título 6 Char"/>
    <w:basedOn w:val="DefaultParagraphFont"/>
    <w:uiPriority w:val="9"/>
    <w:semiHidden/>
    <w:qFormat/>
    <w:rsid w:val="00ff0ef3"/>
    <w:rPr>
      <w:rFonts w:eastAsia="" w:cs="" w:cstheme="majorBidi" w:eastAsiaTheme="majorEastAsia"/>
      <w:i/>
      <w:iCs/>
      <w:color w:val="595959" w:themeColor="text1" w:themeTint="a6"/>
    </w:rPr>
  </w:style>
  <w:style w:type="character" w:styleId="Ttulo7Char" w:customStyle="1">
    <w:name w:val="Título 7 Char"/>
    <w:basedOn w:val="DefaultParagraphFont"/>
    <w:uiPriority w:val="9"/>
    <w:semiHidden/>
    <w:qFormat/>
    <w:rsid w:val="00ff0ef3"/>
    <w:rPr>
      <w:rFonts w:eastAsia="" w:cs="" w:cstheme="majorBidi" w:eastAsiaTheme="majorEastAsia"/>
      <w:color w:val="595959" w:themeColor="text1" w:themeTint="a6"/>
    </w:rPr>
  </w:style>
  <w:style w:type="character" w:styleId="Ttulo8Char" w:customStyle="1">
    <w:name w:val="Título 8 Char"/>
    <w:basedOn w:val="DefaultParagraphFont"/>
    <w:uiPriority w:val="9"/>
    <w:semiHidden/>
    <w:qFormat/>
    <w:rsid w:val="00ff0ef3"/>
    <w:rPr>
      <w:rFonts w:eastAsia="" w:cs="" w:cstheme="majorBidi" w:eastAsiaTheme="majorEastAsia"/>
      <w:i/>
      <w:iCs/>
      <w:color w:val="272727" w:themeColor="text1" w:themeTint="d8"/>
    </w:rPr>
  </w:style>
  <w:style w:type="character" w:styleId="Ttulo9Char" w:customStyle="1">
    <w:name w:val="Título 9 Char"/>
    <w:basedOn w:val="DefaultParagraphFont"/>
    <w:uiPriority w:val="9"/>
    <w:semiHidden/>
    <w:qFormat/>
    <w:rsid w:val="00ff0ef3"/>
    <w:rPr>
      <w:rFonts w:eastAsia="" w:cs="" w:cstheme="majorBidi" w:eastAsiaTheme="majorEastAsia"/>
      <w:color w:val="272727" w:themeColor="text1" w:themeTint="d8"/>
    </w:rPr>
  </w:style>
  <w:style w:type="character" w:styleId="TtuloChar" w:customStyle="1">
    <w:name w:val="Título Char"/>
    <w:basedOn w:val="DefaultParagraphFont"/>
    <w:uiPriority w:val="10"/>
    <w:qFormat/>
    <w:rsid w:val="00ff0ef3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uiPriority w:val="11"/>
    <w:qFormat/>
    <w:rsid w:val="00ff0ef3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Quote"/>
    <w:uiPriority w:val="29"/>
    <w:qFormat/>
    <w:rsid w:val="00ff0ef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f0ef3"/>
    <w:rPr>
      <w:i/>
      <w:iCs/>
      <w:color w:val="0F4761" w:themeColor="accent1" w:themeShade="bf"/>
    </w:rPr>
  </w:style>
  <w:style w:type="character" w:styleId="CitaoIntensaChar" w:customStyle="1">
    <w:name w:val="Citação Intensa Char"/>
    <w:basedOn w:val="DefaultParagraphFont"/>
    <w:link w:val="IntenseQuote"/>
    <w:uiPriority w:val="30"/>
    <w:qFormat/>
    <w:rsid w:val="00ff0e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ef3"/>
    <w:rPr>
      <w:b/>
      <w:bCs/>
      <w:smallCaps/>
      <w:color w:val="0F4761" w:themeColor="accent1" w:themeShade="bf"/>
      <w:spacing w:val="5"/>
    </w:rPr>
  </w:style>
  <w:style w:type="character" w:styleId="LinkdaInternet">
    <w:name w:val="Hyperlink"/>
    <w:uiPriority w:val="99"/>
    <w:unhideWhenUsed/>
    <w:rsid w:val="00ff0ef3"/>
    <w:rPr>
      <w:color w:val="000080"/>
      <w:u w:val="single"/>
    </w:rPr>
  </w:style>
  <w:style w:type="character" w:styleId="PargrafodaListaChar" w:customStyle="1">
    <w:name w:val="Parágrafo da Lista Char"/>
    <w:basedOn w:val="DefaultParagraphFont"/>
    <w:link w:val="ListParagraph"/>
    <w:uiPriority w:val="34"/>
    <w:qFormat/>
    <w:locked/>
    <w:rsid w:val="00ff0ef3"/>
    <w:rPr/>
  </w:style>
  <w:style w:type="character" w:styleId="Nivel2Char" w:customStyle="1">
    <w:name w:val="Nivel 2 Char"/>
    <w:basedOn w:val="DefaultParagraphFont"/>
    <w:link w:val="Nivel2"/>
    <w:uiPriority w:val="99"/>
    <w:qFormat/>
    <w:locked/>
    <w:rsid w:val="00ff0ef3"/>
    <w:rPr>
      <w:rFonts w:ascii="Arial" w:hAnsi="Arial" w:cs="Arial"/>
      <w:color w:val="000000"/>
      <w:lang w:eastAsia="pt-BR"/>
    </w:rPr>
  </w:style>
  <w:style w:type="character" w:styleId="Nvel2-RedChar" w:customStyle="1">
    <w:name w:val="Nível 2 -Red Char"/>
    <w:basedOn w:val="Nivel2Char"/>
    <w:link w:val="Nvel2-Red"/>
    <w:qFormat/>
    <w:locked/>
    <w:rsid w:val="00ff0ef3"/>
    <w:rPr>
      <w:rFonts w:ascii="Arial" w:hAnsi="Arial" w:cs="Arial"/>
      <w:iCs/>
      <w:color w:val="000000"/>
      <w:lang w:eastAsia="pt-BR"/>
    </w:rPr>
  </w:style>
  <w:style w:type="character" w:styleId="Nivel3Char" w:customStyle="1">
    <w:name w:val="Nivel 3 Char"/>
    <w:basedOn w:val="DefaultParagraphFont"/>
    <w:link w:val="Nivel3"/>
    <w:uiPriority w:val="99"/>
    <w:qFormat/>
    <w:locked/>
    <w:rsid w:val="00ff0ef3"/>
    <w:rPr>
      <w:rFonts w:ascii="Ecofont_Spranq_eco_Sans" w:hAnsi="Ecofont_Spranq_eco_Sans" w:cs="Tahoma"/>
      <w:lang w:eastAsia="pt-BR"/>
    </w:rPr>
  </w:style>
  <w:style w:type="character" w:styleId="Nvel1-SemNumPretoChar" w:customStyle="1">
    <w:name w:val="Nível 1-Sem Num Preto Char"/>
    <w:basedOn w:val="DefaultParagraphFont"/>
    <w:link w:val="Nvel1-SemNumPreto"/>
    <w:qFormat/>
    <w:locked/>
    <w:rsid w:val="00ff0ef3"/>
    <w:rPr>
      <w:rFonts w:ascii="Arial" w:hAnsi="Arial" w:eastAsia="" w:cs="Arial" w:eastAsiaTheme="majorEastAsia"/>
      <w:b/>
      <w:bCs/>
      <w:color w:val="FF0000"/>
      <w:spacing w:val="5"/>
      <w:sz w:val="52"/>
      <w:szCs w:val="52"/>
      <w:lang w:eastAsia="zh-CN" w:bidi="hi-IN"/>
    </w:rPr>
  </w:style>
  <w:style w:type="character" w:styleId="CabealhoChar" w:customStyle="1">
    <w:name w:val="Cabeçalho Char"/>
    <w:basedOn w:val="DefaultParagraphFont"/>
    <w:qFormat/>
    <w:rsid w:val="00ff0ef3"/>
    <w:rPr>
      <w:rFonts w:ascii="Ecofont_Spranq_eco_Sans" w:hAnsi="Ecofont_Spranq_eco_Sans" w:eastAsia="" w:cs="Tahoma" w:eastAsiaTheme="minorEastAsia"/>
      <w:kern w:val="0"/>
      <w:lang w:eastAsia="pt-BR"/>
      <w14:ligatures w14:val="none"/>
    </w:rPr>
  </w:style>
  <w:style w:type="character" w:styleId="CabealhoChar1" w:customStyle="1">
    <w:name w:val="Cabeçalho Char1"/>
    <w:basedOn w:val="DefaultParagraphFont"/>
    <w:uiPriority w:val="99"/>
    <w:semiHidden/>
    <w:qFormat/>
    <w:rsid w:val="00ff0ef3"/>
    <w:rPr>
      <w:rFonts w:ascii="Ecofont_Spranq_eco_Sans" w:hAnsi="Ecofont_Spranq_eco_Sans" w:eastAsia="" w:cs="Tahoma" w:eastAsiaTheme="minorEastAsia"/>
      <w:kern w:val="0"/>
      <w:lang w:eastAsia="pt-BR"/>
      <w14:ligatures w14:val="none"/>
    </w:rPr>
  </w:style>
  <w:style w:type="character" w:styleId="RodapChar" w:customStyle="1">
    <w:name w:val="Rodapé Char"/>
    <w:basedOn w:val="DefaultParagraphFont"/>
    <w:uiPriority w:val="99"/>
    <w:qFormat/>
    <w:rsid w:val="00185675"/>
    <w:rPr>
      <w:rFonts w:ascii="Ecofont_Spranq_eco_Sans" w:hAnsi="Ecofont_Spranq_eco_Sans" w:eastAsia="" w:cs="Tahoma" w:eastAsiaTheme="minorEastAsia"/>
      <w:kern w:val="0"/>
      <w:lang w:eastAsia="pt-BR"/>
      <w14:ligatures w14:val="none"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Fontepargpadro">
    <w:name w:val="Fonte parág. padrão"/>
    <w:qFormat/>
    <w:rPr/>
  </w:style>
  <w:style w:type="character" w:styleId="Nfase">
    <w:name w:val="Emphasis"/>
    <w:qFormat/>
    <w:rPr>
      <w:i/>
      <w:i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dodocumento">
    <w:name w:val="Title"/>
    <w:basedOn w:val="Normal"/>
    <w:next w:val="Normal"/>
    <w:link w:val="TtuloChar"/>
    <w:uiPriority w:val="10"/>
    <w:qFormat/>
    <w:rsid w:val="00ff0ef3"/>
    <w:pPr>
      <w:spacing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f0ef3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ff0ef3"/>
    <w:pPr>
      <w:spacing w:before="160" w:after="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PargrafodaListaChar"/>
    <w:uiPriority w:val="34"/>
    <w:qFormat/>
    <w:rsid w:val="00ff0ef3"/>
    <w:pPr>
      <w:spacing w:before="0" w:after="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ff0ef3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paragraph" w:styleId="Nivel01" w:customStyle="1">
    <w:name w:val="Nivel 01"/>
    <w:basedOn w:val="Ttulo1"/>
    <w:next w:val="Normal"/>
    <w:qFormat/>
    <w:rsid w:val="00ff0ef3"/>
    <w:pPr>
      <w:numPr>
        <w:ilvl w:val="0"/>
        <w:numId w:val="1"/>
      </w:numPr>
      <w:tabs>
        <w:tab w:val="clear" w:pos="708"/>
        <w:tab w:val="left" w:pos="0" w:leader="none"/>
        <w:tab w:val="left" w:pos="360" w:leader="none"/>
      </w:tabs>
      <w:spacing w:lineRule="auto" w:line="360" w:before="0" w:after="0"/>
      <w:ind w:hanging="0"/>
      <w:jc w:val="both"/>
    </w:pPr>
    <w:rPr>
      <w:rFonts w:ascii="Arial" w:hAnsi="Arial" w:cs="Arial"/>
      <w:b/>
      <w:bCs/>
      <w:color w:val="0A1D30" w:themeColor="text2" w:themeShade="bf"/>
      <w:spacing w:val="5"/>
      <w:sz w:val="52"/>
      <w:szCs w:val="52"/>
    </w:rPr>
  </w:style>
  <w:style w:type="paragraph" w:styleId="Nivel2" w:customStyle="1">
    <w:name w:val="Nivel 2"/>
    <w:basedOn w:val="Normal"/>
    <w:link w:val="Nivel2Char"/>
    <w:uiPriority w:val="99"/>
    <w:qFormat/>
    <w:rsid w:val="00ff0ef3"/>
    <w:pPr>
      <w:numPr>
        <w:ilvl w:val="1"/>
        <w:numId w:val="1"/>
      </w:numPr>
      <w:spacing w:lineRule="auto" w:line="276" w:before="120" w:after="120"/>
      <w:jc w:val="both"/>
      <w:outlineLvl w:val="1"/>
    </w:pPr>
    <w:rPr>
      <w:rFonts w:ascii="Arial" w:hAnsi="Arial" w:eastAsia="Aptos" w:cs="Arial" w:eastAsiaTheme="minorHAnsi"/>
      <w:color w:val="000000"/>
      <w:kern w:val="2"/>
      <w14:ligatures w14:val="standardContextual"/>
    </w:rPr>
  </w:style>
  <w:style w:type="paragraph" w:styleId="Nvel2-Red" w:customStyle="1">
    <w:name w:val="Nível 2 -Red"/>
    <w:basedOn w:val="Nivel2"/>
    <w:next w:val="Nivel2"/>
    <w:link w:val="Nvel2-RedChar"/>
    <w:qFormat/>
    <w:rsid w:val="00ff0ef3"/>
    <w:pPr/>
    <w:rPr>
      <w:iCs/>
    </w:rPr>
  </w:style>
  <w:style w:type="paragraph" w:styleId="Nivel3" w:customStyle="1">
    <w:name w:val="Nivel 3"/>
    <w:basedOn w:val="Normal"/>
    <w:link w:val="Nivel3Char"/>
    <w:uiPriority w:val="99"/>
    <w:qFormat/>
    <w:rsid w:val="00ff0ef3"/>
    <w:pPr>
      <w:numPr>
        <w:ilvl w:val="2"/>
        <w:numId w:val="1"/>
      </w:numPr>
    </w:pPr>
    <w:rPr>
      <w:rFonts w:eastAsia="Aptos" w:eastAsiaTheme="minorHAnsi"/>
      <w:kern w:val="2"/>
      <w14:ligatures w14:val="standardContextual"/>
    </w:rPr>
  </w:style>
  <w:style w:type="paragraph" w:styleId="Nvel1-SemNumPreto" w:customStyle="1">
    <w:name w:val="Nível 1-Sem Num Preto"/>
    <w:basedOn w:val="Normal"/>
    <w:link w:val="Nvel1-SemNumPretoChar"/>
    <w:qFormat/>
    <w:rsid w:val="00ff0ef3"/>
    <w:pPr>
      <w:keepNext w:val="true"/>
      <w:keepLines/>
      <w:tabs>
        <w:tab w:val="clear" w:pos="708"/>
        <w:tab w:val="left" w:pos="567" w:leader="none"/>
      </w:tabs>
      <w:spacing w:lineRule="auto" w:line="276" w:before="240" w:after="120"/>
      <w:jc w:val="both"/>
      <w:outlineLvl w:val="1"/>
    </w:pPr>
    <w:rPr>
      <w:rFonts w:ascii="Arial" w:hAnsi="Arial" w:eastAsia="" w:cs="Arial" w:eastAsiaTheme="majorEastAsia"/>
      <w:b/>
      <w:bCs/>
      <w:color w:val="FF0000"/>
      <w:spacing w:val="5"/>
      <w:kern w:val="2"/>
      <w:sz w:val="52"/>
      <w:szCs w:val="52"/>
      <w:lang w:eastAsia="zh-CN" w:bidi="hi-IN"/>
      <w14:ligatures w14:val="standardContextual"/>
    </w:rPr>
  </w:style>
  <w:style w:type="paragraph" w:styleId="Nivel4" w:customStyle="1">
    <w:name w:val="Nivel 4"/>
    <w:basedOn w:val="Normal"/>
    <w:qFormat/>
    <w:rsid w:val="00ff0ef3"/>
    <w:pPr>
      <w:numPr>
        <w:ilvl w:val="3"/>
        <w:numId w:val="1"/>
      </w:numPr>
      <w:spacing w:before="120" w:after="120"/>
      <w:ind w:left="851" w:hanging="0"/>
      <w:jc w:val="both"/>
      <w:outlineLvl w:val="3"/>
    </w:pPr>
    <w:rPr>
      <w:rFonts w:ascii="Arial" w:hAnsi="Arial"/>
      <w:sz w:val="20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nhideWhenUsed/>
    <w:rsid w:val="00ff0ef3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unhideWhenUsed/>
    <w:rsid w:val="00185675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Standard" w:customStyle="1">
    <w:name w:val="Standard"/>
    <w:qFormat/>
    <w:rsid w:val="00a847cc"/>
    <w:pPr>
      <w:widowControl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en-US" w:eastAsia="zh-CN" w:bidi="hi-IN"/>
      <w14:ligatures w14:val="none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ff0ef3"/>
    <w:pPr>
      <w:spacing w:after="0" w:line="240" w:lineRule="auto"/>
    </w:pPr>
    <w:rPr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elacomgrade1">
    <w:name w:val="Tabela com grade1"/>
    <w:basedOn w:val="Tabelanormal"/>
    <w:uiPriority w:val="39"/>
    <w:rsid w:val="002428d5"/>
    <w:pPr>
      <w:spacing w:after="0" w:line="240" w:lineRule="auto"/>
    </w:pPr>
    <w:rPr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B4B62-0867-4813-830F-1FFD285D5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7769</TotalTime>
  <Application>LibreOffice/7.5.9.2$Windows_X86_64 LibreOffice_project/cdeefe45c17511d326101eed8008ac4092f278a9</Application>
  <AppVersion>15.0000</AppVersion>
  <Pages>14</Pages>
  <Words>2627</Words>
  <Characters>15305</Characters>
  <CharactersWithSpaces>17745</CharactersWithSpaces>
  <Paragraphs>238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2024-04-11T13:54:00Z</dcterms:created>
  <dc:creator>Usuário do Windows</dc:creator>
  <dc:description/>
  <dc:language>pt-BR</dc:language>
  <cp:lastModifiedBy/>
  <cp:lastPrinted>2024-05-27T17:27:00Z</cp:lastPrinted>
  <dcterms:modified xsi:type="dcterms:W3CDTF">2024-06-18T10:14:56Z</dcterms:modified>
  <cp:revision>108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