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color w:val="000000"/>
          <w:sz w:val="28"/>
          <w:szCs w:val="28"/>
          <w:shd w:fill="auto" w:val="clear"/>
        </w:rPr>
        <w:t xml:space="preserve">Aviso de </w:t>
      </w:r>
    </w:p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 xml:space="preserve">DISPENSA </w:t>
      </w:r>
    </w:p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DE LICITAÇÃO</w:t>
      </w:r>
    </w:p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i/>
          <w:iCs/>
          <w:color w:val="000000"/>
          <w:sz w:val="28"/>
          <w:szCs w:val="28"/>
          <w:shd w:fill="auto" w:val="clear"/>
        </w:rPr>
        <w:t>N.º 08/2024</w:t>
      </w:r>
    </w:p>
    <w:p>
      <w:pPr>
        <w:pStyle w:val="Normal"/>
        <w:spacing w:lineRule="auto" w:line="259"/>
        <w:rPr>
          <w:rFonts w:ascii="Arial" w:hAnsi="Arial" w:cs="Arial"/>
          <w:b/>
          <w:bCs/>
          <w:color w:val="000000"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</w:r>
    </w:p>
    <w:p>
      <w:pPr>
        <w:pStyle w:val="Normal"/>
        <w:spacing w:lineRule="auto" w:line="259"/>
        <w:rPr>
          <w:rFonts w:ascii="Arial" w:hAnsi="Arial" w:cs="Arial"/>
          <w:b/>
          <w:bCs/>
          <w:color w:val="000000"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</w:r>
    </w:p>
    <w:p>
      <w:pPr>
        <w:pStyle w:val="Normal"/>
        <w:spacing w:lineRule="auto" w:line="259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CONTRATANTE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auto" w:val="clear"/>
        </w:rPr>
        <w:t xml:space="preserve"> 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CÂMARA MUNICIPAL DE VEREADORES DE SARANDI</w:t>
      </w:r>
    </w:p>
    <w:p>
      <w:pPr>
        <w:pStyle w:val="Normal"/>
        <w:rPr>
          <w:rFonts w:ascii="Arial" w:hAnsi="Arial" w:cs="Arial"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OBJETO</w:t>
      </w:r>
    </w:p>
    <w:p>
      <w:pPr>
        <w:pStyle w:val="Normal"/>
        <w:widowControl w:val="false"/>
        <w:suppressAutoHyphens w:val="false"/>
        <w:spacing w:before="0" w:after="160"/>
        <w:jc w:val="both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  <w:lang w:val="pt-BR" w:bidi="ar-SA"/>
        </w:rPr>
        <w:t>AQUISIÇÃO DE MATERIAL PERMANENTE PARA REALIZAÇÃO DE SESSÃO PLENÁRIA ELETRÔNICA</w:t>
      </w:r>
    </w:p>
    <w:p>
      <w:pPr>
        <w:pStyle w:val="Normal"/>
        <w:rPr>
          <w:rFonts w:ascii="Arial" w:hAnsi="Arial" w:cs="Arial"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 xml:space="preserve">VALOR </w:t>
      </w:r>
      <w:bookmarkStart w:id="0" w:name="_GoBack"/>
      <w:bookmarkEnd w:id="0"/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ESTIMADO DA AQUISIÇÃO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 xml:space="preserve">R$ </w:t>
      </w:r>
      <w:r>
        <w:rPr>
          <w:rFonts w:eastAsia="SimSun" w:cs="Arial" w:ascii="Arial" w:hAnsi="Arial"/>
          <w:b/>
          <w:bCs/>
          <w:color w:val="000000"/>
          <w:kern w:val="2"/>
          <w:sz w:val="28"/>
          <w:szCs w:val="28"/>
          <w:shd w:fill="auto" w:val="clear"/>
          <w:lang w:val="pt-BR" w:bidi="ar-SA"/>
        </w:rPr>
        <w:t>46.519,95</w:t>
      </w:r>
    </w:p>
    <w:p>
      <w:pPr>
        <w:pStyle w:val="Normal"/>
        <w:rPr>
          <w:rFonts w:ascii="Arial" w:hAnsi="Arial" w:cs="Arial"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PERÍODO DE RECEBIMENTO DE PROPOSTAS ADICIONAIS</w:t>
      </w:r>
    </w:p>
    <w:p>
      <w:pPr>
        <w:pStyle w:val="Normal"/>
        <w:spacing w:lineRule="auto" w:line="276"/>
        <w:rPr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De 10/09/2024 às 00h00min</w:t>
      </w:r>
    </w:p>
    <w:p>
      <w:pPr>
        <w:pStyle w:val="Normal"/>
        <w:spacing w:lineRule="auto" w:line="276"/>
        <w:rPr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Até 13/09/2024 às 23h59min</w:t>
      </w:r>
    </w:p>
    <w:p>
      <w:pPr>
        <w:pStyle w:val="Normal"/>
        <w:rPr>
          <w:rFonts w:ascii="Arial" w:hAnsi="Arial" w:cs="Arial"/>
          <w:b/>
          <w:bCs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PREFERÊNCIA ME/EPP/EQUIPARADAS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SIM</w:t>
      </w:r>
    </w:p>
    <w:p>
      <w:pPr>
        <w:pStyle w:val="Normal"/>
        <w:rPr>
          <w:rFonts w:ascii="Arial" w:hAnsi="Arial"/>
          <w:color w:val="000000"/>
          <w:highlight w:val="none"/>
          <w:shd w:fill="auto" w:val="clear"/>
        </w:rPr>
      </w:pPr>
      <w:r>
        <w:rPr>
          <w:rFonts w:ascii="Arial" w:hAnsi="Arial"/>
          <w:color w:val="000000"/>
          <w:shd w:fill="auto" w:val="clear"/>
        </w:rPr>
      </w:r>
    </w:p>
    <w:p>
      <w:pPr>
        <w:pStyle w:val="Normal"/>
        <w:spacing w:lineRule="auto" w:line="240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CONTATO PARA ENVIO DE PROPOSTAS:</w:t>
      </w:r>
    </w:p>
    <w:p>
      <w:pPr>
        <w:pStyle w:val="Normal"/>
        <w:spacing w:lineRule="auto" w:line="240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Email: camara@sarandi.rs.leg.br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Presencial: Avenida Sete de Setembro, 1790, Centro, Sarandi – RS</w:t>
      </w:r>
    </w:p>
    <w:p>
      <w:pPr>
        <w:pStyle w:val="Normal"/>
        <w:rPr>
          <w:rFonts w:ascii="Arial" w:hAnsi="Arial" w:cs="Arial"/>
          <w:b/>
          <w:bCs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sz w:val="28"/>
          <w:szCs w:val="28"/>
          <w:shd w:fill="auto" w:val="clear"/>
        </w:rPr>
      </w:r>
    </w:p>
    <w:p>
      <w:pPr>
        <w:pStyle w:val="Normal"/>
        <w:rPr>
          <w:rFonts w:ascii="Arial" w:hAnsi="Arial" w:cs="Arial"/>
          <w:b/>
          <w:bCs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sz w:val="28"/>
          <w:szCs w:val="28"/>
          <w:shd w:fill="auto" w:val="clear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ab/>
        <w:t xml:space="preserve">Todas as informações relevantes constam no Anexo I – Termo de Referência. </w:t>
      </w:r>
      <w:r>
        <w:br w:type="page"/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</w:rPr>
        <w:t xml:space="preserve">ANEXO I – TERMO DE REFERÊNCIA </w:t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</w:rPr>
        <w:t>COMPRAS – DISPENSA DE LICITAÇÃO</w:t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iCs/>
        </w:rPr>
        <w:t>PROCESSO ADMINISTRATIVO Nº 9/2024</w:t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iCs/>
        </w:rPr>
        <w:t>DISPENSA DE LICITAÇÃO Nº 8/2024</w:t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iCs/>
        </w:rPr>
        <w:t>CÂMARA MUNICIPAL DE SARANDI RS</w:t>
      </w:r>
    </w:p>
    <w:p>
      <w:pPr>
        <w:pStyle w:val="Normal"/>
        <w:spacing w:lineRule="auto" w:line="360"/>
        <w:ind w:firstLine="709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ListParagraph"/>
        <w:numPr>
          <w:ilvl w:val="0"/>
          <w:numId w:val="7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/>
        </w:rPr>
      </w:pPr>
      <w:r>
        <w:rPr>
          <w:rFonts w:cs="Arial" w:ascii="Arial" w:hAnsi="Arial"/>
          <w:b/>
          <w:bCs/>
        </w:rPr>
        <w:t xml:space="preserve">DAS CONDIÇÕES GERAIS DA CONTRATAÇÃO </w:t>
      </w:r>
    </w:p>
    <w:p>
      <w:pPr>
        <w:pStyle w:val="Normal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bCs/>
          <w:iCs/>
        </w:rPr>
        <w:t xml:space="preserve">A presente licitação tem por objetivo a aquisição de material permanente para a realização das sessões plenárias de forma eletrônica. </w:t>
      </w:r>
    </w:p>
    <w:p>
      <w:pPr>
        <w:pStyle w:val="Normal"/>
        <w:spacing w:lineRule="auto" w:line="360" w:before="0" w:after="0"/>
        <w:ind w:firstLine="851"/>
        <w:jc w:val="both"/>
        <w:rPr/>
      </w:pPr>
      <w:r>
        <w:rPr>
          <w:rFonts w:eastAsia="Aptos" w:cs="Arial" w:ascii="Arial" w:hAnsi="Arial" w:eastAsiaTheme="minorHAnsi"/>
          <w:bCs/>
          <w:iCs/>
        </w:rPr>
        <w:t xml:space="preserve">A participação é exclusiva para microempresas e empresas de pequeno porte, conforme </w:t>
      </w:r>
      <w:hyperlink r:id="rId2">
        <w:r>
          <w:rPr>
            <w:rFonts w:eastAsia="Aptos" w:cs="Arial" w:ascii="Arial" w:hAnsi="Arial" w:eastAsiaTheme="minorHAnsi"/>
            <w:bCs/>
            <w:iCs/>
          </w:rPr>
          <w:t>art. 48 da LC nº 123, de 14 de dezembro de 2006</w:t>
        </w:r>
      </w:hyperlink>
      <w:r>
        <w:rPr>
          <w:rFonts w:eastAsia="Aptos" w:cs="Arial" w:ascii="Arial" w:hAnsi="Arial" w:eastAsiaTheme="minorHAnsi"/>
          <w:bCs/>
          <w:iCs/>
        </w:rPr>
        <w:t>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ListParagraph"/>
        <w:numPr>
          <w:ilvl w:val="0"/>
          <w:numId w:val="8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FORMA DE SELEÇÃO E CRITÉRIO DE JULGAMENTO</w:t>
      </w:r>
    </w:p>
    <w:p>
      <w:pPr>
        <w:pStyle w:val="Normal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bCs/>
          <w:iCs/>
        </w:rPr>
        <w:t xml:space="preserve">O fornecedor será selecionado por meio da realização de termo de formalização de dispensa de licitação, na </w:t>
      </w:r>
    </w:p>
    <w:p>
      <w:pPr>
        <w:pStyle w:val="Normal"/>
        <w:spacing w:lineRule="auto" w:line="360"/>
        <w:ind w:firstLine="851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Modalidade:</w:t>
      </w:r>
      <w:r>
        <w:rPr>
          <w:rFonts w:cs="Arial" w:ascii="Arial" w:hAnsi="Arial"/>
          <w:bCs/>
          <w:iCs/>
        </w:rPr>
        <w:t xml:space="preserve"> DISPENSA DE LICITAÇÃO PRESENCIAL</w:t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Critério de julgamento:</w:t>
      </w:r>
      <w:r>
        <w:rPr>
          <w:rFonts w:cs="Arial" w:ascii="Arial" w:hAnsi="Arial"/>
          <w:bCs/>
          <w:iCs/>
        </w:rPr>
        <w:t xml:space="preserve"> pelo MENOR PREÇO por ITEM</w:t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 xml:space="preserve">Modo de Disputa: </w:t>
      </w:r>
      <w:r>
        <w:rPr>
          <w:rFonts w:cs="Arial" w:ascii="Arial" w:hAnsi="Arial"/>
          <w:bCs/>
          <w:iCs/>
        </w:rPr>
        <w:t>Fechado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</w:rPr>
        <w:t xml:space="preserve">Em consonância ao </w:t>
      </w:r>
      <w:r>
        <w:rPr>
          <w:rFonts w:cs="Arial" w:ascii="Arial" w:hAnsi="Arial"/>
          <w:color w:val="000000"/>
        </w:rPr>
        <w:t>§3º</w:t>
      </w:r>
      <w:r>
        <w:rPr>
          <w:rFonts w:cs="Arial" w:ascii="Arial" w:hAnsi="Arial"/>
        </w:rPr>
        <w:t xml:space="preserve"> do Art. 75 da Lei 14.133/2021, deverá a administração proceder à divulgação em sítio eletrônico oficial, pelo período mínimo de três dias úteis, de aviso de interesse em obter propostas adicionais de fornecedores interessados, selecionando a proposta mais vantajosa.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</w:r>
    </w:p>
    <w:p>
      <w:pPr>
        <w:pStyle w:val="ListParagraph"/>
        <w:numPr>
          <w:ilvl w:val="0"/>
          <w:numId w:val="9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DO OBJETO</w:t>
      </w:r>
    </w:p>
    <w:p>
      <w:pPr>
        <w:pStyle w:val="Normal"/>
        <w:ind w:firstLine="709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851"/>
        <w:rPr>
          <w:rFonts w:ascii="Arial" w:hAnsi="Arial"/>
        </w:rPr>
      </w:pPr>
      <w:r>
        <w:rPr>
          <w:rFonts w:cs="Arial" w:ascii="Arial" w:hAnsi="Arial"/>
        </w:rPr>
        <w:t>Os itens a serem adquiridos, cuja necessidade se faz premente, conforme requerimento, são os seguintes:</w:t>
      </w:r>
    </w:p>
    <w:p>
      <w:pPr>
        <w:pStyle w:val="Normal"/>
        <w:spacing w:lineRule="auto" w:line="360"/>
        <w:ind w:firstLine="85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85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851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Style w:val="Tabelacomgrade"/>
        <w:tblW w:w="9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0"/>
        <w:gridCol w:w="3810"/>
        <w:gridCol w:w="675"/>
        <w:gridCol w:w="735"/>
        <w:gridCol w:w="1425"/>
        <w:gridCol w:w="1636"/>
      </w:tblGrid>
      <w:tr>
        <w:trPr/>
        <w:tc>
          <w:tcPr>
            <w:tcW w:w="7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pt-BR" w:bidi="ar-SA"/>
              </w:rPr>
              <w:t>Item</w:t>
            </w:r>
          </w:p>
        </w:tc>
        <w:tc>
          <w:tcPr>
            <w:tcW w:w="38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pt-BR" w:bidi="ar-SA"/>
              </w:rPr>
              <w:t>Especificação</w:t>
            </w:r>
          </w:p>
        </w:tc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pt-BR" w:bidi="ar-SA"/>
              </w:rPr>
              <w:t>Un.</w:t>
            </w:r>
          </w:p>
        </w:tc>
        <w:tc>
          <w:tcPr>
            <w:tcW w:w="73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pt-BR" w:bidi="ar-SA"/>
              </w:rPr>
              <w:t>Qnt</w:t>
            </w:r>
          </w:p>
        </w:tc>
        <w:tc>
          <w:tcPr>
            <w:tcW w:w="142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pt-BR" w:bidi="ar-SA"/>
              </w:rPr>
              <w:t>Valor Médio Unitário</w:t>
            </w:r>
          </w:p>
        </w:tc>
        <w:tc>
          <w:tcPr>
            <w:tcW w:w="163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pt-BR" w:bidi="ar-SA"/>
              </w:rPr>
              <w:t>Valor Médio Total</w:t>
            </w:r>
          </w:p>
        </w:tc>
      </w:tr>
      <w:tr>
        <w:trPr/>
        <w:tc>
          <w:tcPr>
            <w:tcW w:w="7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38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Splitter HDMI 1x4 4K</w:t>
            </w:r>
          </w:p>
        </w:tc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un.</w:t>
            </w:r>
          </w:p>
        </w:tc>
        <w:tc>
          <w:tcPr>
            <w:tcW w:w="73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 w:val="false"/>
                <w:bCs w:val="false"/>
                <w:color w:val="000000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142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 xml:space="preserve">R$ 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>211,67</w:t>
            </w:r>
          </w:p>
        </w:tc>
        <w:tc>
          <w:tcPr>
            <w:tcW w:w="163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 xml:space="preserve">R$ 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>211,67</w:t>
            </w:r>
          </w:p>
        </w:tc>
      </w:tr>
      <w:tr>
        <w:trPr/>
        <w:tc>
          <w:tcPr>
            <w:tcW w:w="7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02</w:t>
            </w:r>
          </w:p>
        </w:tc>
        <w:tc>
          <w:tcPr>
            <w:tcW w:w="38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Notebook Windows de alta performance, conforme especificações detalhadas em descritivo técnico.</w:t>
            </w:r>
          </w:p>
        </w:tc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un.</w:t>
            </w:r>
          </w:p>
        </w:tc>
        <w:tc>
          <w:tcPr>
            <w:tcW w:w="73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 w:val="false"/>
                <w:bCs w:val="false"/>
                <w:color w:val="000000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142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 xml:space="preserve">R$ 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0"/>
                <w:sz w:val="22"/>
                <w:szCs w:val="22"/>
                <w:lang w:val="pt-BR" w:eastAsia="en-US" w:bidi="ar-SA"/>
              </w:rPr>
              <w:t>8.193,33</w:t>
            </w:r>
          </w:p>
        </w:tc>
        <w:tc>
          <w:tcPr>
            <w:tcW w:w="163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>R$ 8.193,33</w:t>
            </w:r>
          </w:p>
        </w:tc>
      </w:tr>
      <w:tr>
        <w:trPr/>
        <w:tc>
          <w:tcPr>
            <w:tcW w:w="7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03</w:t>
            </w:r>
          </w:p>
        </w:tc>
        <w:tc>
          <w:tcPr>
            <w:tcW w:w="38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SMART TV 55’’ 4K LED</w:t>
            </w:r>
          </w:p>
        </w:tc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un.</w:t>
            </w:r>
          </w:p>
        </w:tc>
        <w:tc>
          <w:tcPr>
            <w:tcW w:w="73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 w:val="false"/>
                <w:bCs w:val="false"/>
                <w:color w:val="000000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142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 xml:space="preserve">R$ 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0"/>
                <w:sz w:val="22"/>
                <w:szCs w:val="22"/>
                <w:lang w:val="pt-BR" w:eastAsia="en-US" w:bidi="ar-SA"/>
              </w:rPr>
              <w:t>3.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0"/>
                <w:sz w:val="22"/>
                <w:szCs w:val="22"/>
                <w:lang w:val="pt-BR" w:eastAsia="en-US" w:bidi="ar-SA"/>
              </w:rPr>
              <w:t>715,00</w:t>
            </w:r>
          </w:p>
        </w:tc>
        <w:tc>
          <w:tcPr>
            <w:tcW w:w="163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 xml:space="preserve">R$ 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0"/>
                <w:sz w:val="22"/>
                <w:szCs w:val="22"/>
                <w:lang w:val="pt-BR" w:eastAsia="en-US" w:bidi="ar-SA"/>
              </w:rPr>
              <w:t>3.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0"/>
                <w:sz w:val="22"/>
                <w:szCs w:val="22"/>
                <w:lang w:val="pt-BR" w:eastAsia="en-US" w:bidi="ar-SA"/>
              </w:rPr>
              <w:t>715,00</w:t>
            </w:r>
          </w:p>
        </w:tc>
      </w:tr>
      <w:tr>
        <w:trPr/>
        <w:tc>
          <w:tcPr>
            <w:tcW w:w="7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04</w:t>
            </w:r>
          </w:p>
        </w:tc>
        <w:tc>
          <w:tcPr>
            <w:tcW w:w="38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Tablet Android 11’’, conforme especificações detalhadas em descritivo técnico</w:t>
            </w:r>
          </w:p>
        </w:tc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un.</w:t>
            </w:r>
          </w:p>
        </w:tc>
        <w:tc>
          <w:tcPr>
            <w:tcW w:w="73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 w:val="false"/>
                <w:bCs w:val="false"/>
                <w:color w:val="000000"/>
                <w:sz w:val="22"/>
                <w:szCs w:val="22"/>
                <w:lang w:val="pt-BR" w:bidi="ar-SA"/>
              </w:rPr>
              <w:t>15</w:t>
            </w:r>
          </w:p>
        </w:tc>
        <w:tc>
          <w:tcPr>
            <w:tcW w:w="142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 xml:space="preserve">R$ </w:t>
            </w: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0"/>
                <w:sz w:val="22"/>
                <w:szCs w:val="22"/>
                <w:lang w:val="pt-BR" w:eastAsia="en-US" w:bidi="ar-SA"/>
              </w:rPr>
              <w:t>2.293,33</w:t>
            </w:r>
          </w:p>
        </w:tc>
        <w:tc>
          <w:tcPr>
            <w:tcW w:w="163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eastAsia="Calibri" w:cs="Arial" w:ascii="Arial" w:hAnsi="Ari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en-US" w:bidi="ar-SA"/>
              </w:rPr>
              <w:t>R$ 34.399,95</w:t>
            </w:r>
          </w:p>
        </w:tc>
      </w:tr>
    </w:tbl>
    <w:p>
      <w:pPr>
        <w:pStyle w:val="Normal"/>
        <w:spacing w:lineRule="auto" w:line="360"/>
        <w:ind w:firstLine="709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/>
        <w:t>Vislumbra-se que tal valor é compatível com o praticado pelo mercado correspondente, observando-se o disposto no artigo 5° da Resolução de Mesa 04/</w:t>
      </w:r>
      <w:r>
        <w:rPr>
          <w:color w:val="auto"/>
        </w:rPr>
        <w:t xml:space="preserve">2024 </w:t>
      </w:r>
      <w:r>
        <w:rPr/>
        <w:t>e no art. 23, §1º, da Lei n.º 14.133/2021.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/>
        <w:t>O objeto desta contratação não se e</w:t>
      </w:r>
      <w:r>
        <w:rPr>
          <w:color w:val="auto"/>
        </w:rPr>
        <w:t xml:space="preserve">nquadra como sendo de bem de luxo, conforme Resolução de Mesa n.º 003/2024 e </w:t>
      </w:r>
      <w:r>
        <w:rPr>
          <w:rFonts w:eastAsia="Times New Roman"/>
          <w:lang w:eastAsia="zh-CN"/>
        </w:rPr>
        <w:t>tem natureza comum, nos termos do art. 6º, inciso XIII, da Lei Federal n.º 14.133/2021.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ormal"/>
        <w:shd w:val="clear" w:color="auto" w:fill="D9D9D9" w:themeFill="background1" w:themeFillShade="d9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4. FUNDAMENTAÇÃO DA CONTRATAÇÃO</w:t>
      </w:r>
    </w:p>
    <w:p>
      <w:pPr>
        <w:pStyle w:val="Normal"/>
        <w:suppressAutoHyphens w:val="false"/>
        <w:spacing w:lineRule="auto" w:line="360"/>
        <w:ind w:firstLine="851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uppressAutoHyphens w:val="false"/>
        <w:spacing w:lineRule="auto" w:line="360"/>
        <w:ind w:firstLine="851"/>
        <w:jc w:val="both"/>
        <w:rPr>
          <w:rFonts w:ascii="Arial" w:hAnsi="Arial"/>
        </w:rPr>
      </w:pPr>
      <w:r>
        <w:rPr>
          <w:rFonts w:ascii="Arial" w:hAnsi="Arial"/>
        </w:rPr>
        <w:t>A Câmara de Vereadores de Sarandi iniciou, no mês de outubro de 2023, a implementação de uma ferramenta, responsável pela gestão completa do processo legislativo, administrativo e plenário da Casa. Contudo, parte do processo de implantação concentra-se na instalação de equipamentos que possibilitem a evolução das sessões plenárias a níveis eletrônicos, através da mudança do processo de votação e gerenciamento de toda a reunião. Assim, a realização deste processo licitatório é de vital importância para viabilizar a implementação da plena instalação da sessão eletrônica no Poder Legislativo Municipal.</w:t>
      </w:r>
    </w:p>
    <w:p>
      <w:pPr>
        <w:pStyle w:val="Normal"/>
        <w:suppressAutoHyphens w:val="false"/>
        <w:spacing w:lineRule="auto" w:line="360"/>
        <w:ind w:firstLine="851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hd w:val="clear" w:color="auto" w:fill="D9D9D9" w:themeFill="background1" w:themeFillShade="d9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5. DESCRIÇÃO DA SOLUÇÃO COMO UM TODO</w:t>
      </w:r>
    </w:p>
    <w:p>
      <w:pPr>
        <w:pStyle w:val="Normal"/>
        <w:suppressAutoHyphens w:val="false"/>
        <w:rPr>
          <w:rFonts w:ascii="Arial" w:hAnsi="Arial"/>
        </w:rPr>
      </w:pPr>
      <w:r>
        <w:rPr>
          <w:rFonts w:eastAsia="Calibri" w:cs="Arial" w:ascii="Arial" w:hAnsi="Arial"/>
          <w:lang w:eastAsia="en-US"/>
        </w:rPr>
        <w:tab/>
      </w:r>
    </w:p>
    <w:p>
      <w:pPr>
        <w:pStyle w:val="Caption"/>
        <w:suppressAutoHyphens w:val="false"/>
        <w:spacing w:lineRule="auto" w:line="360" w:beforeAutospacing="1" w:after="12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bCs/>
          <w:i w:val="false"/>
          <w:iCs w:val="false"/>
        </w:rPr>
        <w:t>Continuidade Operacional</w:t>
      </w:r>
      <w:r>
        <w:rPr>
          <w:rFonts w:cs="Arial" w:ascii="Arial" w:hAnsi="Arial"/>
          <w:i w:val="false"/>
          <w:iCs w:val="false"/>
        </w:rPr>
        <w:t>: o processo de implantação da ferramenta de gestão legislativa teve início em outubro/2023. Das áreas de atuação do sistema ainda não plenamente implantadas, resta apenas a transição das sessões para o formato informatizado, que somente será possível mediante aquisição dos equipamentos de informática descritos no Item 3.</w:t>
      </w:r>
    </w:p>
    <w:p>
      <w:pPr>
        <w:pStyle w:val="Caption"/>
        <w:suppressAutoHyphens w:val="false"/>
        <w:spacing w:lineRule="auto" w:line="360" w:before="0" w:after="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bCs/>
          <w:i w:val="false"/>
          <w:iCs w:val="false"/>
        </w:rPr>
        <w:t>Carência Material</w:t>
      </w:r>
      <w:r>
        <w:rPr>
          <w:rFonts w:cs="Arial" w:ascii="Arial" w:hAnsi="Arial"/>
          <w:i w:val="false"/>
          <w:iCs w:val="false"/>
        </w:rPr>
        <w:t>: por se tratar de mudança ampla e radical na forma como se gerencia as sessões plenárias, indubitavelmente, há a necessidade de se adquirir equipamentos que possam suportar as demandas de tal avanço tecnológico, os quais a Casa Legislativa não possui atualmente, garantindo estabilidade, segurança e qualidade na moderação dos atos plenários.</w:t>
      </w:r>
    </w:p>
    <w:p>
      <w:pPr>
        <w:pStyle w:val="Caption"/>
        <w:suppressAutoHyphens w:val="false"/>
        <w:spacing w:lineRule="auto" w:line="360" w:before="0" w:after="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bCs/>
          <w:i w:val="false"/>
          <w:iCs w:val="false"/>
        </w:rPr>
        <w:t>Ampla Modernização</w:t>
      </w:r>
      <w:r>
        <w:rPr>
          <w:rFonts w:cs="Arial" w:ascii="Arial" w:hAnsi="Arial"/>
          <w:i w:val="false"/>
          <w:iCs w:val="false"/>
        </w:rPr>
        <w:t>: a implantação da sessão eletrônica significa um marco na história da Câmara Municipal de Sarandi, colocando o Poder Legislativo entre as inúmeras instituições públicas que já fazem uso do sistema eletrônico, visando maior transparência, comunicação com o público e simplicidade nos atos legislativos.</w:t>
      </w:r>
    </w:p>
    <w:p>
      <w:pPr>
        <w:pStyle w:val="Caption"/>
        <w:suppressAutoHyphens w:val="false"/>
        <w:spacing w:lineRule="auto" w:line="360" w:before="0" w:after="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bCs/>
          <w:i w:val="false"/>
          <w:iCs w:val="false"/>
        </w:rPr>
        <w:t>Transparência e Legalidade</w:t>
      </w:r>
      <w:r>
        <w:rPr>
          <w:rFonts w:cs="Arial" w:ascii="Arial" w:hAnsi="Arial"/>
          <w:i w:val="false"/>
          <w:iCs w:val="false"/>
        </w:rPr>
        <w:t>: a licitação assegurará um processo transparente e justo de aquisição, em estrita conformidade com a legislação vigente, reforçando o compromisso desta instituição com a integridade e a responsabilidade no uso dos recursos públicos.</w:t>
      </w:r>
    </w:p>
    <w:p>
      <w:pPr>
        <w:pStyle w:val="Normal"/>
        <w:suppressAutoHyphens w:val="false"/>
        <w:spacing w:lineRule="auto" w:line="360" w:before="0" w:after="160"/>
        <w:jc w:val="both"/>
        <w:rPr>
          <w:rFonts w:ascii="Arial" w:hAnsi="Arial"/>
        </w:rPr>
      </w:pPr>
      <w:r>
        <w:rPr>
          <w:rFonts w:cs="Arial" w:ascii="Arial" w:hAnsi="Arial"/>
          <w:color w:val="000000"/>
        </w:rPr>
        <w:tab/>
      </w:r>
      <w:r>
        <w:rPr>
          <w:rFonts w:cs="Arial" w:ascii="Arial" w:hAnsi="Arial"/>
          <w:color w:val="000000"/>
          <w:u w:val="single"/>
        </w:rPr>
        <w:t>A Câmara de Vereadores não elaborou até a presente data, o Plano de Contratações Anual – PCA.</w:t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before="0" w:after="0"/>
        <w:ind w:left="0" w:hanging="11"/>
        <w:rPr>
          <w:rFonts w:ascii="Arial" w:hAnsi="Arial"/>
        </w:rPr>
      </w:pPr>
      <w:r>
        <w:rPr>
          <w:b/>
          <w:bCs/>
        </w:rPr>
        <w:t>REQUISITOS DA CONTRATAÇÃO</w:t>
      </w:r>
    </w:p>
    <w:p>
      <w:pPr>
        <w:pStyle w:val="Normal"/>
        <w:shd w:val="clear" w:color="auto" w:fill="FFFFFF" w:themeFill="background1"/>
        <w:ind w:firstLine="709"/>
        <w:jc w:val="both"/>
        <w:rPr>
          <w:rFonts w:ascii="Arial" w:hAnsi="Arial" w:cs="Arial"/>
          <w:b/>
          <w:bCs/>
          <w:color w:val="FF0000"/>
        </w:rPr>
      </w:pPr>
      <w:r>
        <w:rPr>
          <w:rFonts w:cs="Arial" w:ascii="Arial" w:hAnsi="Arial"/>
          <w:b/>
          <w:bCs/>
          <w:color w:val="FF0000"/>
        </w:rPr>
      </w:r>
    </w:p>
    <w:p>
      <w:pPr>
        <w:pStyle w:val="Nivel2"/>
        <w:numPr>
          <w:ilvl w:val="0"/>
          <w:numId w:val="0"/>
        </w:numPr>
        <w:spacing w:lineRule="auto" w:line="360" w:before="120" w:after="0"/>
        <w:ind w:left="0" w:hanging="0"/>
        <w:rPr>
          <w:rFonts w:ascii="Arial" w:hAnsi="Arial"/>
        </w:rPr>
      </w:pPr>
      <w:r>
        <w:rPr>
          <w:b/>
          <w:bCs/>
        </w:rPr>
        <w:t xml:space="preserve">DA HABILITAÇÃO JURÍDICA, FISCAL E TRABALHISTA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lang w:eastAsia="zh-CN"/>
        </w:rPr>
        <w:t>No procedimento de contratação, será necessário que a futura CONTRATADA apresente o que segue: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ascii="Arial" w:hAnsi="Arial" w:eastAsia="Times New Roman"/>
          <w:b/>
          <w:bCs/>
          <w:u w:val="single"/>
          <w:lang w:eastAsia="zh-CN"/>
        </w:rPr>
      </w:pPr>
      <w:r>
        <w:rPr>
          <w:rFonts w:eastAsia="Times New Roman"/>
          <w:b/>
          <w:bCs/>
          <w:u w:val="single"/>
          <w:lang w:eastAsia="zh-CN"/>
        </w:rPr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b/>
          <w:bCs/>
          <w:u w:val="single"/>
          <w:lang w:eastAsia="zh-CN"/>
        </w:rPr>
        <w:t>Habilitação Jurídica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 - Registro Comercial, Ato Constitutivo, Estatuto ou Ata Social e suas alterações, devidamente registrado na Junta Comercial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a) Somente será(ão) habilitado(s) a(s) licitantes(s) que apresentar(em), além de toda a documentação exigida, o ramo pertinente ao objeto desta contratação no seu objeto social.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bookmarkStart w:id="1" w:name="_Hlk160479309"/>
      <w:r>
        <w:rPr>
          <w:rFonts w:eastAsia="Times New Roman"/>
          <w:color w:val="auto"/>
          <w:lang w:eastAsia="zh-CN"/>
        </w:rPr>
        <w:t xml:space="preserve">II - </w:t>
      </w:r>
      <w:bookmarkStart w:id="2" w:name="_Hlk167866864"/>
      <w:r>
        <w:rPr>
          <w:rFonts w:eastAsia="Times New Roman"/>
          <w:color w:val="auto"/>
          <w:lang w:eastAsia="zh-CN"/>
        </w:rPr>
        <w:t>O Certificado da Condição de Microempreendedor Individual – CCMEI quando permitida a participação do MEI</w:t>
      </w:r>
      <w:bookmarkEnd w:id="1"/>
      <w:r>
        <w:rPr>
          <w:rFonts w:eastAsia="Times New Roman"/>
          <w:color w:val="auto"/>
          <w:lang w:eastAsia="zh-CN"/>
        </w:rPr>
        <w:t>.</w:t>
      </w:r>
      <w:bookmarkEnd w:id="2"/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III - I</w:t>
      </w:r>
      <w:r>
        <w:rPr>
          <w:color w:val="auto"/>
        </w:rPr>
        <w:t xml:space="preserve">nscrição no Cadastro Nacional de Pessoas Jurídicas (CNPJ)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b/>
          <w:bCs/>
          <w:u w:val="single"/>
          <w:lang w:eastAsia="zh-CN"/>
        </w:rPr>
        <w:t>Habilitação Fiscal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lang w:eastAsia="zh-CN"/>
        </w:rPr>
        <w:t xml:space="preserve">I – </w:t>
      </w:r>
      <w:r>
        <w:rPr>
          <w:rFonts w:eastAsia="Times New Roman"/>
          <w:color w:val="auto"/>
          <w:lang w:eastAsia="zh-CN"/>
        </w:rPr>
        <w:t>Prova de Regularidade com a Fazenda Federal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 – Prova de Regularidade com a Fazenda Estadual.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III – Prova de Regularidade com a Fazenda Municipal, conforme legislação tributária do Município expedidor da licitante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IV – Prova de Regularidade junto ao Fundo de Garantia por Tempo de Serviço – FGTS.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V – </w:t>
      </w:r>
      <w:bookmarkStart w:id="3" w:name="_Hlk167867545"/>
      <w:r>
        <w:rPr>
          <w:rFonts w:eastAsia="Times New Roman"/>
          <w:color w:val="auto"/>
          <w:lang w:eastAsia="zh-CN"/>
        </w:rPr>
        <w:t xml:space="preserve">Prova de Inscrição no cadastro de contribuinte, ICMS/ISS: Inscrição Estadual ou Municipal, caso tenha, relativo ao domicílio ou sede do licitante, pertinente ao seu ramo de atividade e compatível com o objeto da licitação. </w:t>
      </w:r>
      <w:bookmarkEnd w:id="3"/>
    </w:p>
    <w:p>
      <w:pPr>
        <w:pStyle w:val="Normal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auto"/>
          <w:sz w:val="24"/>
          <w:szCs w:val="24"/>
          <w:lang w:eastAsia="ar-SA"/>
        </w:rPr>
        <w:tab/>
        <w:t>VI – Declaração de enquadramento como ME ou EPP assinada pelo contador da empresa;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b/>
          <w:bCs/>
          <w:u w:val="single"/>
          <w:lang w:eastAsia="zh-CN"/>
        </w:rPr>
        <w:t>Habilitação Trabalhista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I – </w:t>
      </w:r>
      <w:bookmarkStart w:id="4" w:name="_Hlk167866112"/>
      <w:r>
        <w:rPr>
          <w:rFonts w:eastAsia="Times New Roman"/>
          <w:color w:val="auto"/>
          <w:lang w:eastAsia="zh-CN"/>
        </w:rPr>
        <w:t>Certidão Negativa de Débitos Trabalhistas</w:t>
      </w:r>
      <w:bookmarkEnd w:id="4"/>
      <w:r>
        <w:rPr>
          <w:rFonts w:eastAsia="Times New Roman"/>
          <w:color w:val="auto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 – Declaração de cumprimento do disposto no inciso XXXIII do art. 7º da Constituição Federal (não emprega menor de idade).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III – Declaração de cumprimento das exigências de reserva de cargos para pessoa com deficiência e para reabilitado da Previdência Social, de que trata o art. 93 da Lei n.º 8.213, de 24 de julho de 1991. 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" w:eastAsiaTheme="minorEastAsia"/>
          <w:color w:val="FF0000"/>
        </w:rPr>
      </w:pPr>
      <w:r>
        <w:rPr>
          <w:rFonts w:eastAsia="" w:eastAsiaTheme="minorEastAsia"/>
          <w:color w:val="FF0000"/>
        </w:rPr>
      </w:r>
    </w:p>
    <w:p>
      <w:pPr>
        <w:pStyle w:val="Normal"/>
        <w:shd w:val="clear" w:color="auto" w:fill="FFFFFF" w:themeFill="background1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b/>
          <w:bCs/>
        </w:rPr>
        <w:t>SUBCONTRATAÇÃO</w:t>
      </w:r>
    </w:p>
    <w:p>
      <w:pPr>
        <w:pStyle w:val="Normal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</w:rPr>
        <w:t>Não é admitida a subcontratação do objeto contratual.</w:t>
      </w:r>
    </w:p>
    <w:p>
      <w:pPr>
        <w:pStyle w:val="Normal"/>
        <w:spacing w:lineRule="auto" w:line="360"/>
        <w:ind w:firstLine="851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0" w:after="0"/>
        <w:ind w:left="0" w:hanging="11"/>
        <w:outlineLvl w:val="9"/>
        <w:rPr>
          <w:rFonts w:ascii="Arial" w:hAnsi="Arial"/>
        </w:rPr>
      </w:pPr>
      <w:r>
        <w:rPr>
          <w:b/>
          <w:bCs/>
        </w:rPr>
        <w:t xml:space="preserve">MODELO DE </w:t>
      </w:r>
      <w:r>
        <w:rPr>
          <w:b/>
          <w:bCs/>
          <w:color w:val="auto"/>
        </w:rPr>
        <w:t xml:space="preserve">EXECUÇÃO </w:t>
      </w:r>
      <w:r>
        <w:rPr>
          <w:b/>
          <w:bCs/>
        </w:rPr>
        <w:t xml:space="preserve">DO OBJETO 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709"/>
        <w:outlineLvl w:val="9"/>
        <w:rPr>
          <w:rFonts w:ascii="Arial" w:hAnsi="Arial"/>
          <w:color w:val="auto"/>
        </w:rPr>
      </w:pPr>
      <w:r>
        <w:rPr>
          <w:color w:val="auto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</w:rPr>
      </w:pPr>
      <w:r>
        <w:rPr>
          <w:rFonts w:cs="Arial" w:ascii="Arial" w:hAnsi="Arial"/>
        </w:rPr>
        <w:t>A entrega dos equipamentos deverá ser realizada na sede do Poder Legislativo do Município de Sarandi.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</w:rPr>
      </w:pPr>
      <w:r>
        <w:rPr>
          <w:rFonts w:cs="Arial" w:ascii="Arial" w:hAnsi="Arial"/>
        </w:rPr>
        <w:t>Os produtos deverão ser entregues acompanhados de documento fiscal, com as mesmas condições indicadas na proposta de preço vencedora do certame.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outlineLvl w:val="9"/>
        <w:rPr>
          <w:color w:val="auto"/>
        </w:rPr>
      </w:pPr>
      <w:r>
        <w:rPr>
          <w:color w:val="auto"/>
        </w:rPr>
        <w:t>A entrega dos bens deverá se dar de forma única, no prazo de 30 (trinta) dias úteis após a solicitação pelo Contratante, mediante emissão da Nota de Empenho.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outlineLvl w:val="9"/>
        <w:rPr>
          <w:color w:val="auto"/>
        </w:rPr>
      </w:pPr>
      <w:r>
        <w:rPr/>
        <w:tab/>
        <w:t>Em caso de algum tipo de irregularidade verificada, os equipamentos serão devolvidos, ficando a retirada dos mesmos e o custo do transporte por conta da CONTRATADA, sem prejuízo da aplicação das penalidades cabíveis;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outlineLvl w:val="9"/>
        <w:rPr/>
      </w:pPr>
      <w:r>
        <w:rPr/>
        <w:tab/>
        <w:t>As comunicações entre o órgão ou entidade e a contratada devem ser realizadas por escrito sempre que o ato exigir tal formalidade, admitindo-se o uso de mensagem eletrônica para esse fim.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outlineLvl w:val="9"/>
        <w:rPr/>
      </w:pPr>
      <w:r>
        <w:rPr>
          <w:rFonts w:cs="Arial"/>
        </w:rPr>
        <w:tab/>
        <w:t>O órgão ou entidade poderá convocar representante da empresa para adoção de providências que devam ser cumpridas de imediato.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>
          <w:rFonts w:ascii="Arial" w:hAnsi="Arial"/>
        </w:rPr>
      </w:pPr>
      <w:r>
        <w:rPr/>
      </w:r>
    </w:p>
    <w:p>
      <w:pPr>
        <w:pStyle w:val="Normal"/>
        <w:spacing w:lineRule="auto" w:line="360"/>
        <w:ind w:hanging="0"/>
        <w:jc w:val="both"/>
        <w:rPr>
          <w:rFonts w:ascii="Arial" w:hAnsi="Arial"/>
        </w:rPr>
      </w:pPr>
      <w:r>
        <w:rPr>
          <w:rFonts w:cs="Arial" w:ascii="Arial" w:hAnsi="Arial"/>
          <w:b/>
          <w:bCs/>
        </w:rPr>
        <w:tab/>
        <w:t>GARANTIA DOS PRODUTOS</w:t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</w:rPr>
        <w:tab/>
        <w:t>O prazo de garantia dos equipamentos é de no mínimo 12 meses.</w:t>
      </w:r>
    </w:p>
    <w:p>
      <w:pPr>
        <w:pStyle w:val="Normal"/>
        <w:spacing w:lineRule="auto" w:line="360"/>
        <w:ind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A garantia abrange a realização da manutenção corretiva dos bens pelo próprio Contratado, ou, se for o caso, por meio de assistência técnica autorizada, de acordo com as normas técnicas específicas.</w:t>
      </w:r>
    </w:p>
    <w:p>
      <w:pPr>
        <w:pStyle w:val="Normal"/>
        <w:spacing w:lineRule="auto" w:line="360"/>
        <w:ind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As peças que apresentarem vício ou defeito no período de vigência da garantia deverão ser substituídas por outras novas, de primeiro uso, e originais, que apresentem padrões de qualidade e desempenho iguais ou superiores aos das peças utilizadas na fabricação do equipamento.</w:t>
      </w:r>
    </w:p>
    <w:p>
      <w:pPr>
        <w:pStyle w:val="Normal"/>
        <w:spacing w:lineRule="auto" w:line="360"/>
        <w:ind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Uma vez notificado, o Contratado realizará a reparação ou substituição dos bens que apresentarem vício ou defeito no prazo de até 20 (vinte) dias úteis, contados a partir da data de retirada do equipamento das dependências da Administração pelo Contratado ou pela assistência técnica autorizada, podendo o prazo ser prorrogado uma única vez, mediante solicitação escrita e justificada do Contratado aceita pelo Contratante. Sendo que neste caso, o Contratado deverá disponibilizar equipamento equivalente, de especificação igual ou superior ao anteriormente fornecido, para utilização em caráter provisório pelo Contratante, de modo a garantir a continuidade dos trabalhos administrativos durante a execução dos reparos.</w:t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</w:rPr>
        <w:tab/>
        <w:t>O custo referente ao transporte dos equipamentos cobertos pela garantia será de responsabilidade do Contratado.</w:t>
      </w:r>
    </w:p>
    <w:p>
      <w:pPr>
        <w:pStyle w:val="Normal"/>
        <w:spacing w:lineRule="auto" w:line="36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0" w:after="0"/>
        <w:ind w:left="0" w:firstLine="709"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OBRIGAÇÕES DA CONTRATADA (EMPRESA)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ab/>
        <w:tab/>
        <w:t>A CONTRATADA cumprirá todas as obrigações constantes no Termo de Referência e na sua proposta, assumindo como exclusivamente seus os riscos e as despesas decorrentes da boa e perfeita execução do objeto.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ab/>
        <w:tab/>
        <w:t>Os equipamentos deverão ser novos, estar acompanhados de nota fiscal e adequadamente embalados de forma a preservar suas características originais, atender às especificações técnicas exigidas e obedecer às normas e especificações constantes neste TR e as normas do INMETRO, conforme especificação e necessidade de cada produto;</w:t>
      </w:r>
    </w:p>
    <w:p>
      <w:pPr>
        <w:pStyle w:val="Normal"/>
        <w:spacing w:lineRule="auto" w:line="360"/>
        <w:ind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O fornecedor deverá entregar os itens de maneira que seja possível conferir, separadamente, cada um, de forma que facilite o controle dos mesmos; Será recusado produto deteriorado ou avariado, devendo ser substituído, às suas custas, sem prejuízo da aplicação das penalidades.</w:t>
      </w:r>
    </w:p>
    <w:p>
      <w:pPr>
        <w:pStyle w:val="Normal"/>
        <w:spacing w:lineRule="auto" w:line="360"/>
        <w:ind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A CONTRATADA responsabiliza-se pelos vícios e danos decorrentes do objeto, de acordo com os artigos 12, 13 e 17 a 27, do Código de Defesa do Consumidor (Lei nº 8.078, de 1990), devendo substituir, reparar ou corrigir, às suas expensas, no prazo fixado neste Termo de Referência, o objeto com avarias, vícios ou defeitos;</w:t>
      </w:r>
    </w:p>
    <w:p>
      <w:pPr>
        <w:pStyle w:val="Normal"/>
        <w:spacing w:lineRule="auto" w:line="360"/>
        <w:ind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A entrega dos equipamentos no local indicado pelo contratante, ficará a cargo do fornecedor, a quem caberá providenciar a mão de obra e produtos necessários para a entrega.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ab/>
        <w:tab/>
        <w:t>A CONTRATADA deverá arcar com os encargos previdenciários, fiscais (ICMS e outros), comerciais, trabalhistas, tributários, itens, embalagens, tarifas, fretes, seguros, descarga, transporte, material, responsabilidade civil e outros resultantes desta dispensa, bem como os riscos atinentes à atividade, inclusive quaisquer despesas que venham a incidir sobre os itens, objeto desta contratação;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ab/>
        <w:tab/>
        <w:t>Entende-se por encargos os tributos (impostos, taxas), contribuições fiscais e parafiscais, os instituídos por leis sociais, emolumentos, fornecimento de mão de obra especializada, administração, lucros, equipamentos e ferramental, transporte de material e de pessoal, estada, hospedagem, alimentação e qualquer despesa, acessória e/ou necessária, não especificada neste Termo de Referência;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ab/>
        <w:tab/>
        <w:t>A CONTRATADA deverá indenizar terceiros e ao CONTRATANTE os possíveis prejuízos ou danos, decorrentes de dolo ou culpa, durante a contratação, em conformidade com o artigo 120 da Lei n.º 14.133/21;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ab/>
        <w:tab/>
        <w:t>A CONTRATADA cabe cumprir fielmente os termos deste Termo, em compatibilidade com as obrigações assumidas; substituir o objeto avariado no prazo estabelecido neste Termo de Referência, ou não sendo possível, indenizar o valor correspondente acrescido de perdas e danos, mediante toda e qualquer impugnação feita pelo CONTRATANTE; prestar informações sobre o objeto da licitação;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  <w:tab/>
        <w:tab/>
        <w:t>Cabe ainda a CONTRATADA manter todas as condições de habilitação e qualificação exigidas na licitação, durante toda a execução da ata e em compatibilidade com as obrigações assumidas; responder pela qualidade, quantidade, segurança e demais características do objeto, bem como a observação às normas técnicas; informar ao setor financeiro da Secretaria requisitante, durante o período de vigência da licitação, qualquer alteração de endereço, telefone, correio eletrônico (e-mail) ou outros dados.</w:t>
      </w:r>
    </w:p>
    <w:p>
      <w:pPr>
        <w:pStyle w:val="Nivel2"/>
        <w:numPr>
          <w:ilvl w:val="0"/>
          <w:numId w:val="0"/>
        </w:numPr>
        <w:tabs>
          <w:tab w:val="clear" w:pos="708"/>
          <w:tab w:val="left" w:pos="426" w:leader="none"/>
        </w:tabs>
        <w:spacing w:lineRule="auto" w:line="360" w:before="0" w:after="0"/>
        <w:ind w:left="0" w:hanging="0"/>
        <w:rPr>
          <w:rFonts w:ascii="Arial" w:hAnsi="Arial"/>
          <w:b/>
          <w:bCs/>
        </w:rPr>
      </w:pPr>
      <w:r>
        <w:rPr>
          <w:b/>
          <w:bCs/>
        </w:rPr>
      </w:r>
    </w:p>
    <w:p>
      <w:pPr>
        <w:pStyle w:val="Nivel2"/>
        <w:numPr>
          <w:ilvl w:val="0"/>
          <w:numId w:val="0"/>
        </w:numPr>
        <w:tabs>
          <w:tab w:val="clear" w:pos="708"/>
          <w:tab w:val="left" w:pos="426" w:leader="none"/>
        </w:tabs>
        <w:spacing w:lineRule="auto" w:line="360" w:before="0" w:after="0"/>
        <w:ind w:left="0" w:hanging="0"/>
        <w:rPr>
          <w:rFonts w:ascii="Arial" w:hAnsi="Arial"/>
        </w:rPr>
      </w:pPr>
      <w:r>
        <w:rPr>
          <w:b/>
          <w:bCs/>
          <w:color w:val="auto"/>
        </w:rPr>
        <w:t>LOCAL E HORÁRIO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cs="Arial" w:ascii="Arial" w:hAnsi="Arial"/>
        </w:rPr>
        <w:t xml:space="preserve">As mercadorias deverão ser entregues junto a Câmara municipal de Sarandi-RS, </w:t>
      </w:r>
      <w:r>
        <w:rPr>
          <w:rFonts w:cs="Arial" w:ascii="Arial" w:hAnsi="Arial"/>
          <w:shd w:fill="FFFFFF" w:val="clear"/>
        </w:rPr>
        <w:t>Av. 7 de Setembro, 1790, centro, Sarandi – RS, 99560-000,</w:t>
      </w:r>
      <w:r>
        <w:rPr>
          <w:rFonts w:cs="Arial" w:ascii="Arial" w:hAnsi="Arial"/>
        </w:rPr>
        <w:t xml:space="preserve"> em dias úteis, das 08h00min às 11h00min ou das 13h30min às 16h30min.  </w:t>
      </w:r>
      <w:r>
        <w:rPr>
          <w:rFonts w:cs="Arial" w:ascii="Arial" w:hAnsi="Arial"/>
          <w:shd w:fill="FFFFFF" w:val="clear"/>
        </w:rPr>
        <w:t>E-mail para contato: camara@sarandi.rs.leg.br.</w:t>
      </w:r>
    </w:p>
    <w:p>
      <w:pPr>
        <w:pStyle w:val="Normal"/>
        <w:spacing w:lineRule="auto" w:line="36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0"/>
        </w:numPr>
        <w:tabs>
          <w:tab w:val="clear" w:pos="708"/>
          <w:tab w:val="left" w:pos="426" w:leader="none"/>
        </w:tabs>
        <w:spacing w:lineRule="auto" w:line="360" w:before="0" w:after="0"/>
        <w:ind w:left="0" w:hanging="0"/>
        <w:rPr>
          <w:b/>
          <w:bCs/>
        </w:rPr>
      </w:pPr>
      <w:r>
        <w:rPr>
          <w:b/>
          <w:bCs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rPr>
          <w:rFonts w:ascii="Arial" w:hAnsi="Arial"/>
        </w:rPr>
      </w:pPr>
      <w:r>
        <w:rPr/>
        <w:tab/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OBRIGAÇÕES DO CONTRATANTE (CÂMARA MUNICIPAL)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6" w:after="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Compete ao CONTRATANTE: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Receber, fiscalizar, orientar, contestar, dirimir dúvidas emergentes da execução do objeto contratado.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Receber o objeto e lavrar termo de recebimento provisório. Se o objeto contratado não estiver de acordo com as especificações do CONTRATANTE, rejeitá-lo, no todo ou em parte. Do contrário, após a análise de compatibilidade entre o contratado e o efetivamente entregue, será lavrado o termo de recebimento definitivo.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Permitir o acesso dos representantes da ADJUDICATÁRIA ao local de entrega, desde que devidamente identificados.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Comunicar à CONTRATADA, por escrito, sobre imperfeições, avarias, falhas ou irregularidades verificadas no serviço de reforma das poltronas e cadeiras entregues, para que sejam substituídos, reparados ou corrigidos.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Efetuar o pagamento à CONTRATADA no valor correspondente ao fornecimento do objeto, no prazo e forma estabelecidos neste Termo de Referência.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O CONTRATANTE não responderá por quaisquer compromissos assumidos pela CONTRATADA com terceiros, ainda que vinculados à execução do presente Termo de Referência, bem como por qualquer dano causado a terceiros em decorrência de ato da CONTRATADA, de seus empregados, prepostos ou subordinados.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  <w:b/>
          <w:bCs/>
          <w:color w:val="C00000"/>
        </w:rPr>
      </w:pPr>
      <w:r>
        <w:rPr>
          <w:rFonts w:cs="Arial" w:ascii="Arial" w:hAnsi="Arial"/>
          <w:b/>
          <w:bCs/>
          <w:color w:val="C00000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SANÇÕES</w:t>
      </w:r>
    </w:p>
    <w:p>
      <w:pPr>
        <w:pStyle w:val="Normal"/>
        <w:tabs>
          <w:tab w:val="clear" w:pos="708"/>
          <w:tab w:val="left" w:pos="733" w:leader="none"/>
        </w:tabs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Nos termos do art. 155 da Lei Federal 14.133/2021, o descumprimento total ou parcial das obrigações assumidas pela CONTRATADA, sem justificativa aceita, poderá acarretar as seguintes sanções: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a) Dar causa à inexecução parcial do contrato;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b) Dar causa à inexecução parcial do contrato que cause grave dano à Administração, ao funcionamento dos serviços públicos ou ao interesse coletivo;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c) Dar causa à inexecução total do contrato;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d) Não manter a proposta, salvo em decorrência de fato superveniente devidamente justificado;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e) Não celebrar o contrato ou não entregar a documentação exigida para a contratação, quando convocado dentro do prazo de validade de sua proposta;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f) Ensejar o retardamento da execução ou da entrega do objeto da licitação sem motivo justificado;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g) Praticar atos ilícitos com vistas a frustrar os objetivos da licitação;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h) Praticar ato lesivo previsto no art. 5º da Lei n.º 12.846, de 1º de agosto de 2013. </w:t>
      </w:r>
    </w:p>
    <w:p>
      <w:pPr>
        <w:pStyle w:val="Normal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Serão aplicadas ao responsável pelas infrações administrativas previstas acima, as seguintes penalidades, nos limites previstos no art. 156 da Lei Federal 14.133/2021.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a) O valor da multa, aplicada será descontado imediatamente no pagamento subsequente, sendo ainda aplicado juros de mora de 1,00% (um por cento) ao mês, ou 0,0333% por dia de atraso.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b) Na impossibilidade de desconto no pagamento subsequente, será liquidado do seguro caução previsto neste instrumento.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c) As sanções previstas nestes instrumentos poderão ser aplicadas cumulativamente, exceto as multas escalonadas por datas, e a multa de advertência. 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outlineLvl w:val="9"/>
        <w:rPr>
          <w:rFonts w:ascii="Arial" w:hAnsi="Arial"/>
        </w:rPr>
      </w:pPr>
      <w:r>
        <w:rPr>
          <w:color w:val="auto"/>
          <w:lang w:val="pt-PT"/>
        </w:rPr>
        <w:t>d) No caso de multa, cuja apuração ainda esteja em processamento, ou seja, na fase da defesa prévia, o CONTRATANTE poderá fazer a retenção do valor correspondente à multa, até a decisão final da defesa prévia. Caso a defesa prévia seja aceita, ou aceita parcialmente, pelo CONTRATANTE, o valor retido correspondente será depositado em favor da CONTRATADA, em até 05 (cinco) dias úteis a contar da data da decisão final da defesa apresentada.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outlineLvl w:val="9"/>
        <w:rPr>
          <w:rFonts w:ascii="Arial" w:hAnsi="Arial"/>
          <w:color w:val="auto"/>
        </w:rPr>
      </w:pPr>
      <w:r>
        <w:rPr>
          <w:color w:val="auto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0" w:after="0"/>
        <w:ind w:left="0" w:hanging="0"/>
        <w:outlineLvl w:val="9"/>
        <w:rPr>
          <w:rFonts w:ascii="Arial" w:hAnsi="Arial"/>
        </w:rPr>
      </w:pPr>
      <w:r>
        <w:rPr>
          <w:b/>
          <w:bCs/>
          <w:color w:val="auto"/>
        </w:rPr>
        <w:t xml:space="preserve">MODELO DE GESTÃO DO CONTRATO 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851"/>
        <w:rPr>
          <w:rFonts w:ascii="Arial" w:hAnsi="Arial"/>
          <w:color w:val="auto"/>
        </w:rPr>
      </w:pPr>
      <w:r>
        <w:rPr>
          <w:color w:val="auto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color w:val="auto"/>
        </w:rPr>
        <w:t>O contrato deverá ser executado fielmente pelas partes, de acordo com as cláusulas avençadas e as normas da Lei n.º 14.133, de 2021, e cada parte responderá pelas consequências de sua inexecução total ou parcial, nos termos do Artigo 115 da Lei n.º 14.133/2021.</w:t>
      </w:r>
    </w:p>
    <w:p>
      <w:pPr>
        <w:pStyle w:val="Nvel2-Red"/>
        <w:numPr>
          <w:ilvl w:val="0"/>
          <w:numId w:val="0"/>
        </w:numPr>
        <w:spacing w:lineRule="auto" w:line="360" w:before="0" w:after="0"/>
        <w:ind w:left="0" w:hanging="0"/>
        <w:outlineLvl w:val="9"/>
        <w:rPr>
          <w:rFonts w:ascii="Arial" w:hAnsi="Arial"/>
          <w:color w:val="C00000"/>
        </w:rPr>
      </w:pPr>
      <w:r>
        <w:rPr>
          <w:color w:val="C00000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before="0" w:after="0"/>
        <w:ind w:left="0" w:hanging="11"/>
        <w:rPr>
          <w:rFonts w:ascii="Arial" w:hAnsi="Arial"/>
        </w:rPr>
      </w:pPr>
      <w:r>
        <w:rPr>
          <w:b/>
          <w:bCs/>
          <w:color w:val="auto"/>
        </w:rPr>
        <w:t>CRITÉRIOS DE PAGAMENTO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709"/>
        <w:rPr>
          <w:rFonts w:ascii="Arial" w:hAnsi="Arial"/>
          <w:b/>
          <w:bCs/>
          <w:color w:val="auto"/>
        </w:rPr>
      </w:pPr>
      <w:r>
        <w:rPr>
          <w:b/>
          <w:bCs/>
          <w:color w:val="auto"/>
        </w:rPr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color w:val="auto"/>
        </w:rPr>
        <w:t>O pagamento será efetuado em até 10 (dez) dias após a efetiva entrega dos produtos, mediante nota fiscal e autorização da Câmara de Vereadores.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color w:val="auto"/>
        </w:rPr>
        <w:t>A Nota Fiscal emitida pelo fornecedor deverá conter, em local de fácil visualização, a indicação do n.º do Processo de Dispensa de Licitação, a fim de se acelerar o trâmite de recebimento do material e posterior liberação do documento fiscal para pagamento.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ascii="Arial" w:hAnsi="Arial" w:eastAsia="Times New Roman"/>
          <w:b/>
          <w:bCs/>
          <w:color w:val="C00000"/>
          <w:lang w:eastAsia="zh-CN"/>
        </w:rPr>
      </w:pPr>
      <w:r>
        <w:rPr>
          <w:rFonts w:eastAsia="Times New Roman"/>
          <w:b/>
          <w:bCs/>
          <w:color w:val="C00000"/>
          <w:lang w:eastAsia="zh-CN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120" w:after="0"/>
        <w:ind w:left="0" w:hanging="11"/>
        <w:rPr>
          <w:rFonts w:ascii="Arial" w:hAnsi="Arial"/>
        </w:rPr>
      </w:pPr>
      <w:r>
        <w:rPr>
          <w:b/>
          <w:bCs/>
          <w:color w:val="auto"/>
        </w:rPr>
        <w:t>FORMA E CRITÉRIOS DE SELEÇÃO DO FORNECEDOR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hanging="0"/>
        <w:rPr>
          <w:rFonts w:ascii="Arial" w:hAnsi="Arial"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O fornecedor será selecionado por meio da escolha da proposta mais vantajosa, após a abertura de prazo mínimo de três dias úteis para recebimento de propostas adicionais pela Câmara, através de aviso de intenção de compra que deverá ser disponibilizado em </w:t>
      </w:r>
      <w:r>
        <w:rPr>
          <w:rFonts w:eastAsia="Times New Roman"/>
          <w:i/>
          <w:iCs/>
          <w:color w:val="auto"/>
          <w:lang w:eastAsia="zh-CN"/>
        </w:rPr>
        <w:t>sítio</w:t>
      </w:r>
      <w:r>
        <w:rPr>
          <w:rFonts w:eastAsia="Times New Roman"/>
          <w:color w:val="auto"/>
          <w:lang w:eastAsia="zh-CN"/>
        </w:rPr>
        <w:t xml:space="preserve"> eletrônico. O processo adotado é o de DISPENSA DE LICITAÇÃO, sob a forma PRESENCIAL, com adoção do critério de julgamento pelo MENOR PREÇO POR ITEM.</w:t>
      </w:r>
    </w:p>
    <w:p>
      <w:pPr>
        <w:pStyle w:val="Normal"/>
        <w:spacing w:lineRule="auto" w:line="360"/>
        <w:ind w:firstLine="851"/>
        <w:jc w:val="both"/>
        <w:rPr>
          <w:rFonts w:ascii="Arial" w:hAnsi="Arial" w:cs="Arial"/>
          <w:bCs/>
          <w:iCs/>
        </w:rPr>
      </w:pPr>
      <w:r>
        <w:rPr>
          <w:rFonts w:eastAsia="Aptos" w:cs="Arial" w:ascii="Arial" w:hAnsi="Arial" w:eastAsiaTheme="minorHAnsi"/>
          <w:bCs/>
          <w:iCs/>
          <w:color w:val="auto"/>
          <w:lang w:eastAsia="zh-CN"/>
        </w:rPr>
        <w:t xml:space="preserve">A participação é exclusiva para microempresas e empresas de pequeno porte, conforme </w:t>
      </w:r>
      <w:hyperlink r:id="rId3">
        <w:r>
          <w:rPr>
            <w:rFonts w:eastAsia="Aptos" w:cs="Arial" w:ascii="Arial" w:hAnsi="Arial" w:eastAsiaTheme="minorHAnsi"/>
            <w:bCs/>
            <w:iCs/>
            <w:color w:val="auto"/>
            <w:lang w:eastAsia="zh-CN"/>
          </w:rPr>
          <w:t>art. 48 da LC nº 123, de 14 de dezembro de 2006</w:t>
        </w:r>
      </w:hyperlink>
      <w:r>
        <w:rPr>
          <w:rFonts w:eastAsia="Aptos" w:cs="Arial" w:ascii="Arial" w:hAnsi="Arial" w:eastAsiaTheme="minorHAnsi"/>
          <w:bCs/>
          <w:iCs/>
          <w:color w:val="auto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  <w:color w:val="C00000"/>
          <w:highlight w:val="lightGray"/>
        </w:rPr>
      </w:pPr>
      <w:r>
        <w:rPr>
          <w:color w:val="C00000"/>
          <w:highlight w:val="lightGray"/>
        </w:rPr>
      </w:r>
    </w:p>
    <w:p>
      <w:pPr>
        <w:pStyle w:val="ListParagraph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  <w:tab w:val="left" w:pos="567" w:leader="none"/>
        </w:tabs>
        <w:spacing w:lineRule="auto" w:line="360" w:before="120" w:after="0"/>
        <w:ind w:left="0" w:hanging="11"/>
        <w:contextualSpacing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ESTIMATIVAS DO VALOR DA CONTRATAÇÃO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 xml:space="preserve">O custo médio estimado total da contratação é de aproximadamente </w:t>
      </w:r>
      <w:r>
        <w:rPr>
          <w:rFonts w:cs="Arial" w:ascii="Arial" w:hAnsi="Arial"/>
          <w:b/>
          <w:bCs/>
        </w:rPr>
        <w:t xml:space="preserve">R$ </w:t>
      </w:r>
      <w:r>
        <w:rPr>
          <w:rFonts w:eastAsia="SimSun" w:cs="Arial" w:ascii="Arial" w:hAnsi="Arial"/>
          <w:b/>
          <w:bCs/>
          <w:color w:val="000000"/>
          <w:kern w:val="2"/>
          <w:sz w:val="24"/>
          <w:szCs w:val="24"/>
          <w:shd w:fill="auto" w:val="clear"/>
          <w:lang w:val="pt-BR" w:bidi="ar-SA"/>
        </w:rPr>
        <w:t>46.519,95</w:t>
      </w:r>
      <w:r>
        <w:rPr>
          <w:rFonts w:eastAsia="SimSun" w:cs="Arial" w:ascii="Arial" w:hAnsi="Arial"/>
          <w:b w:val="false"/>
          <w:bCs w:val="false"/>
          <w:color w:val="000000"/>
          <w:kern w:val="2"/>
          <w:sz w:val="24"/>
          <w:szCs w:val="24"/>
          <w:shd w:fill="auto" w:val="clear"/>
          <w:lang w:val="pt-BR" w:bidi="ar-SA"/>
        </w:rPr>
        <w:t>.</w:t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1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ADEQUAÇÃO ORÇAMENTÁRIA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outlineLvl w:val="1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As despesas decorrentes da presente contratação correrão à conta de recursos específicos consignados no Orçamento da Câmara de Vereadores de Sarandi, nas dotações informadas na Declaração/Adequação Orçamentária apresentada, conforme abaixo:</w:t>
      </w:r>
    </w:p>
    <w:p>
      <w:pPr>
        <w:pStyle w:val="Standard"/>
        <w:spacing w:lineRule="auto" w:line="360"/>
        <w:jc w:val="both"/>
        <w:rPr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  <w:t>0101.01.031.0100.2001.3.3.90.30.17 – MATERIAL DE T.I.C. (CONSUMO)</w:t>
      </w:r>
    </w:p>
    <w:p>
      <w:pPr>
        <w:pStyle w:val="Standard"/>
        <w:spacing w:lineRule="auto" w:line="360"/>
        <w:jc w:val="both"/>
        <w:rPr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  <w:t>0101.01.031.0100.1002.4.4.90.52.33 – EQUIPAMENTOS PARA AUDIO, VIDEO E FOTO</w:t>
      </w:r>
    </w:p>
    <w:p>
      <w:pPr>
        <w:pStyle w:val="Standard"/>
        <w:spacing w:lineRule="auto" w:line="360"/>
        <w:jc w:val="both"/>
        <w:rPr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  <w:t>0101.01.031.0100.1002.4.4.90.52.35 – MATERIAL DE T.I.C. (PERMANENTE)</w:t>
      </w:r>
    </w:p>
    <w:p>
      <w:pPr>
        <w:pStyle w:val="Standard"/>
        <w:spacing w:lineRule="auto" w:line="36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  <w:color w:val="C00000"/>
          <w:sz w:val="24"/>
          <w:szCs w:val="24"/>
        </w:rPr>
      </w:pPr>
      <w:r>
        <w:rPr>
          <w:rFonts w:cs="Arial" w:ascii="Arial" w:hAnsi="Arial"/>
          <w:color w:val="C00000"/>
          <w:sz w:val="24"/>
          <w:szCs w:val="24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cs="Arial"/>
          <w:b/>
          <w:bCs/>
        </w:rPr>
      </w:pPr>
      <w:r>
        <w:rPr>
          <w:rFonts w:cs="Arial"/>
          <w:b/>
          <w:bCs/>
        </w:rPr>
      </w:r>
      <w:r>
        <w:br w:type="page"/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ANEXO I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DESCRITIVO TÉCNICO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 xml:space="preserve">1. </w:t>
      </w:r>
      <w:r>
        <w:rPr>
          <w:rFonts w:cs="Times New Roman" w:ascii="Arial" w:hAnsi="Arial"/>
          <w:b/>
          <w:bCs/>
          <w:i/>
          <w:iCs/>
          <w:sz w:val="24"/>
          <w:szCs w:val="24"/>
          <w:lang w:eastAsia="en-US"/>
        </w:rPr>
        <w:t>Splitter:</w:t>
      </w:r>
      <w:r>
        <w:rPr>
          <w:rFonts w:cs="Times New Roman" w:ascii="Arial" w:hAnsi="Arial"/>
          <w:b w:val="false"/>
          <w:bCs w:val="false"/>
          <w:sz w:val="24"/>
          <w:szCs w:val="24"/>
          <w:lang w:eastAsia="en-US"/>
        </w:rPr>
        <w:t xml:space="preserve"> HDMI com 4 (quatro) saídas, resolução de saída 4K, estrutura ativa com fonte de energia </w:t>
      </w:r>
      <w:r>
        <w:rPr>
          <w:rFonts w:cs="Times New Roman" w:ascii="Arial" w:hAnsi="Arial"/>
          <w:b w:val="false"/>
          <w:bCs w:val="false"/>
          <w:i/>
          <w:iCs/>
          <w:sz w:val="24"/>
          <w:szCs w:val="24"/>
          <w:lang w:eastAsia="en-US"/>
        </w:rPr>
        <w:t>bivolt</w:t>
      </w:r>
      <w:r>
        <w:rPr>
          <w:rFonts w:cs="Times New Roman" w:ascii="Arial" w:hAnsi="Arial"/>
          <w:b w:val="false"/>
          <w:bCs w:val="false"/>
          <w:sz w:val="24"/>
          <w:szCs w:val="24"/>
          <w:lang w:eastAsia="en-US"/>
        </w:rPr>
        <w:t xml:space="preserve"> e cabo de alimentação incluso na caixa do produto.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2. NOTEBOOK DE ALTA PERFORMANCE:</w:t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CPU</w:t>
      </w:r>
      <w:r>
        <w:rPr>
          <w:rFonts w:cs="Times New Roman" w:ascii="Arial" w:hAnsi="Arial"/>
          <w:szCs w:val="24"/>
        </w:rPr>
        <w:t xml:space="preserve">: </w:t>
      </w:r>
      <w:r>
        <w:rPr>
          <w:rFonts w:cs="Times New Roman" w:ascii="Arial" w:hAnsi="Arial"/>
          <w:i/>
          <w:iCs/>
          <w:szCs w:val="24"/>
        </w:rPr>
        <w:t>Chipset</w:t>
      </w:r>
      <w:r>
        <w:rPr>
          <w:rFonts w:cs="Times New Roman" w:ascii="Arial" w:hAnsi="Arial"/>
          <w:szCs w:val="24"/>
        </w:rPr>
        <w:t xml:space="preserve"> com oito núcleos de processamento (</w:t>
      </w:r>
      <w:r>
        <w:rPr>
          <w:rFonts w:cs="Times New Roman" w:ascii="Arial" w:hAnsi="Arial"/>
          <w:i/>
          <w:iCs/>
          <w:szCs w:val="24"/>
        </w:rPr>
        <w:t>octa-core</w:t>
      </w:r>
      <w:r>
        <w:rPr>
          <w:rFonts w:cs="Times New Roman" w:ascii="Arial" w:hAnsi="Arial"/>
          <w:szCs w:val="24"/>
        </w:rPr>
        <w:t xml:space="preserve">), 12 </w:t>
      </w:r>
      <w:r>
        <w:rPr>
          <w:rFonts w:cs="Times New Roman" w:ascii="Arial" w:hAnsi="Arial"/>
          <w:i/>
          <w:iCs/>
          <w:szCs w:val="24"/>
        </w:rPr>
        <w:t xml:space="preserve">threads, clock </w:t>
      </w:r>
      <w:r>
        <w:rPr>
          <w:rFonts w:cs="Times New Roman" w:ascii="Arial" w:hAnsi="Arial"/>
          <w:szCs w:val="24"/>
        </w:rPr>
        <w:t xml:space="preserve">base de, no mínimo, 2.0 GHz e turbo </w:t>
      </w:r>
      <w:r>
        <w:rPr>
          <w:rFonts w:cs="Times New Roman" w:ascii="Arial" w:hAnsi="Arial"/>
          <w:i/>
          <w:iCs/>
          <w:szCs w:val="24"/>
        </w:rPr>
        <w:t>boost</w:t>
      </w:r>
      <w:r>
        <w:rPr>
          <w:rFonts w:cs="Times New Roman" w:ascii="Arial" w:hAnsi="Arial"/>
          <w:szCs w:val="24"/>
        </w:rPr>
        <w:t xml:space="preserve"> de, no mínimo, 4,4 GHz, arquitetura x86, 12MB de </w:t>
      </w:r>
      <w:r>
        <w:rPr>
          <w:rFonts w:cs="Times New Roman" w:ascii="Arial" w:hAnsi="Arial"/>
          <w:i/>
          <w:iCs/>
          <w:szCs w:val="24"/>
        </w:rPr>
        <w:t xml:space="preserve">cache </w:t>
      </w:r>
      <w:r>
        <w:rPr>
          <w:rFonts w:cs="Times New Roman" w:ascii="Arial" w:hAnsi="Arial"/>
          <w:szCs w:val="24"/>
        </w:rPr>
        <w:t xml:space="preserve">e Potência Básica do Processador (Typical </w:t>
      </w:r>
      <w:r>
        <w:rPr>
          <w:rFonts w:cs="Times New Roman" w:ascii="Arial" w:hAnsi="Arial"/>
          <w:i/>
          <w:iCs/>
          <w:szCs w:val="24"/>
        </w:rPr>
        <w:t>TDP)</w:t>
      </w:r>
      <w:r>
        <w:rPr>
          <w:rFonts w:cs="Times New Roman" w:ascii="Arial" w:hAnsi="Arial"/>
          <w:szCs w:val="24"/>
        </w:rPr>
        <w:t xml:space="preserve"> de 45W</w:t>
      </w:r>
      <w:r>
        <w:rPr>
          <w:rFonts w:cs="Times New Roman" w:ascii="Arial" w:hAnsi="Arial"/>
          <w:i/>
          <w:iCs/>
          <w:szCs w:val="24"/>
        </w:rPr>
        <w:t xml:space="preserve">, </w:t>
      </w:r>
      <w:r>
        <w:rPr>
          <w:rFonts w:cs="Times New Roman" w:ascii="Arial" w:hAnsi="Arial"/>
          <w:szCs w:val="24"/>
        </w:rPr>
        <w:t xml:space="preserve">devendo possuir performance com pontuação mínima de 17.000 (dezessete mil) pontos no </w:t>
      </w:r>
      <w:r>
        <w:rPr>
          <w:rFonts w:cs="Times New Roman" w:ascii="Arial" w:hAnsi="Arial"/>
          <w:i/>
          <w:iCs/>
          <w:szCs w:val="24"/>
        </w:rPr>
        <w:t>benchmark</w:t>
      </w:r>
      <w:r>
        <w:rPr>
          <w:rFonts w:cs="Times New Roman" w:ascii="Arial" w:hAnsi="Arial"/>
          <w:szCs w:val="24"/>
        </w:rPr>
        <w:t xml:space="preserve"> “</w:t>
      </w:r>
      <w:r>
        <w:rPr>
          <w:rFonts w:cs="Times New Roman" w:ascii="Arial" w:hAnsi="Arial"/>
          <w:i/>
          <w:iCs/>
          <w:szCs w:val="24"/>
        </w:rPr>
        <w:t>PerformanceTest V10”</w:t>
      </w:r>
      <w:r>
        <w:rPr>
          <w:rFonts w:cs="Times New Roman" w:ascii="Arial" w:hAnsi="Arial"/>
          <w:szCs w:val="24"/>
        </w:rPr>
        <w:t xml:space="preserve">, da </w:t>
      </w:r>
      <w:r>
        <w:rPr>
          <w:rFonts w:ascii="Arial" w:hAnsi="Arial"/>
        </w:rPr>
        <w:t>PassMark® Software (</w:t>
      </w:r>
      <w:hyperlink r:id="rId4">
        <w:r>
          <w:rPr>
            <w:rStyle w:val="LinkdaInternet"/>
            <w:rFonts w:ascii="Arial" w:hAnsi="Arial"/>
          </w:rPr>
          <w:t>https://www.cpubenchmark.net/cpu_list.php</w:t>
        </w:r>
      </w:hyperlink>
      <w:r>
        <w:rPr>
          <w:rFonts w:ascii="Arial" w:hAnsi="Arial"/>
        </w:rPr>
        <w:t xml:space="preserve">). Para efeitos de referência, foi utilizado o processador </w:t>
      </w:r>
      <w:r>
        <w:rPr>
          <w:rFonts w:cs="Times New Roman" w:ascii="Arial" w:hAnsi="Arial"/>
          <w:szCs w:val="24"/>
          <w14:ligatures w14:val="none"/>
        </w:rPr>
        <w:t>Intel® Core™ i5-12450H, sendo</w:t>
      </w:r>
      <w:r>
        <w:rPr>
          <w:rFonts w:ascii="Arial" w:hAnsi="Arial"/>
        </w:rPr>
        <w:t xml:space="preserve"> aceitos outros processadores de performance igual ou superior, desde que auferidos pelo </w:t>
      </w:r>
      <w:r>
        <w:rPr>
          <w:rFonts w:ascii="Arial" w:hAnsi="Arial"/>
          <w:i/>
          <w:iCs/>
        </w:rPr>
        <w:t>Passmark</w:t>
      </w:r>
      <w:r>
        <w:rPr>
          <w:rFonts w:ascii="Arial" w:hAnsi="Arial"/>
        </w:rPr>
        <w:t xml:space="preserve"> </w:t>
      </w:r>
      <w:r>
        <w:rPr>
          <w:rFonts w:ascii="Arial" w:hAnsi="Arial"/>
          <w:i/>
          <w:iCs/>
        </w:rPr>
        <w:t>Software</w:t>
      </w:r>
      <w:r>
        <w:rPr>
          <w:rFonts w:ascii="Arial" w:hAnsi="Arial"/>
        </w:rPr>
        <w:t>, sistema padrão-industrial para diagnóstico da capacidade de desempenho de peças de processamento.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GPU</w:t>
      </w:r>
      <w:r>
        <w:rPr>
          <w:rFonts w:cs="Times New Roman" w:ascii="Arial" w:hAnsi="Arial"/>
          <w:szCs w:val="24"/>
        </w:rPr>
        <w:t xml:space="preserve">: Placa gráfica dedicada para </w:t>
      </w:r>
      <w:r>
        <w:rPr>
          <w:rFonts w:cs="Times New Roman" w:ascii="Arial" w:hAnsi="Arial"/>
          <w:i/>
          <w:iCs/>
          <w:szCs w:val="24"/>
        </w:rPr>
        <w:t>notebooks</w:t>
      </w:r>
      <w:r>
        <w:rPr>
          <w:rFonts w:cs="Times New Roman" w:ascii="Arial" w:hAnsi="Arial"/>
          <w:szCs w:val="24"/>
        </w:rPr>
        <w:t xml:space="preserve"> com 6 GB de memória GDDR6, velocidade de memória de 1500 MHz e TGP máximo (</w:t>
      </w:r>
      <w:r>
        <w:rPr>
          <w:rFonts w:cs="Times New Roman" w:ascii="Arial" w:hAnsi="Arial"/>
          <w:i/>
          <w:iCs/>
          <w:szCs w:val="24"/>
        </w:rPr>
        <w:t xml:space="preserve">Total Graphics Power – </w:t>
      </w:r>
      <w:r>
        <w:rPr>
          <w:rFonts w:cs="Times New Roman" w:ascii="Arial" w:hAnsi="Arial"/>
          <w:szCs w:val="24"/>
        </w:rPr>
        <w:t xml:space="preserve">Poder Total Gráfico) de 80W, devendo possuir performance com pontuação mínima de 10.000 (dez mil) pontos no </w:t>
      </w:r>
      <w:r>
        <w:rPr>
          <w:rFonts w:cs="Times New Roman" w:ascii="Arial" w:hAnsi="Arial"/>
          <w:i/>
          <w:iCs/>
          <w:szCs w:val="24"/>
        </w:rPr>
        <w:t>benchmark</w:t>
      </w:r>
      <w:r>
        <w:rPr>
          <w:rFonts w:cs="Times New Roman" w:ascii="Arial" w:hAnsi="Arial"/>
          <w:szCs w:val="24"/>
        </w:rPr>
        <w:t xml:space="preserve"> “</w:t>
      </w:r>
      <w:r>
        <w:rPr>
          <w:rFonts w:cs="Times New Roman" w:ascii="Arial" w:hAnsi="Arial"/>
          <w:i/>
          <w:iCs/>
          <w:szCs w:val="24"/>
        </w:rPr>
        <w:t>G3D Mark”</w:t>
      </w:r>
      <w:r>
        <w:rPr>
          <w:rFonts w:cs="Times New Roman" w:ascii="Arial" w:hAnsi="Arial"/>
          <w:szCs w:val="24"/>
        </w:rPr>
        <w:t xml:space="preserve">, da </w:t>
      </w:r>
      <w:r>
        <w:rPr>
          <w:rFonts w:ascii="Arial" w:hAnsi="Arial"/>
        </w:rPr>
        <w:t>PassMark® Software (</w:t>
      </w:r>
      <w:hyperlink r:id="rId5">
        <w:r>
          <w:rPr>
            <w:rStyle w:val="LinkdaInternet"/>
            <w:rFonts w:ascii="Arial" w:hAnsi="Arial"/>
          </w:rPr>
          <w:t>https://www.videocardbenchmark.net/gpu_list.php</w:t>
        </w:r>
      </w:hyperlink>
      <w:r>
        <w:rPr>
          <w:rFonts w:ascii="Arial" w:hAnsi="Arial"/>
        </w:rPr>
        <w:t xml:space="preserve">). Para efeitos de referência, foi utilizada a placa gráfica </w:t>
      </w:r>
      <w:r>
        <w:rPr>
          <w:rFonts w:cs="Times New Roman" w:ascii="Arial" w:hAnsi="Arial"/>
          <w:szCs w:val="24"/>
          <w14:ligatures w14:val="none"/>
        </w:rPr>
        <w:t>Nvidia GeForce RTX 3050 6GB (Laptop), sendo</w:t>
      </w:r>
      <w:r>
        <w:rPr>
          <w:rFonts w:ascii="Arial" w:hAnsi="Arial"/>
        </w:rPr>
        <w:t xml:space="preserve"> aceitas outras placas de performance igual ou superior, desde que auferidas pelo </w:t>
      </w:r>
      <w:r>
        <w:rPr>
          <w:rFonts w:ascii="Arial" w:hAnsi="Arial"/>
          <w:i/>
          <w:iCs/>
        </w:rPr>
        <w:t>Passmark</w:t>
      </w:r>
      <w:r>
        <w:rPr>
          <w:rFonts w:ascii="Arial" w:hAnsi="Arial"/>
        </w:rPr>
        <w:t xml:space="preserve"> </w:t>
      </w:r>
      <w:r>
        <w:rPr>
          <w:rFonts w:ascii="Arial" w:hAnsi="Arial"/>
          <w:i/>
          <w:iCs/>
        </w:rPr>
        <w:t>Software</w:t>
      </w:r>
      <w:r>
        <w:rPr>
          <w:rFonts w:ascii="Arial" w:hAnsi="Arial"/>
        </w:rPr>
        <w:t>, sistema padrão-industrial para diagnóstico da capacidade de desempenho de peças de processamento gráfico.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16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Memória RAM</w:t>
      </w:r>
      <w:r>
        <w:rPr>
          <w:rFonts w:cs="Times New Roman" w:ascii="Arial" w:hAnsi="Arial"/>
          <w:szCs w:val="24"/>
        </w:rPr>
        <w:t xml:space="preserve">: 16 GB DDR5 em </w:t>
      </w:r>
      <w:r>
        <w:rPr>
          <w:rFonts w:cs="Times New Roman" w:ascii="Arial" w:hAnsi="Arial"/>
          <w:i/>
          <w:iCs/>
          <w:szCs w:val="24"/>
        </w:rPr>
        <w:t>dual-channel</w:t>
      </w:r>
      <w:r>
        <w:rPr>
          <w:rFonts w:cs="Times New Roman" w:ascii="Arial" w:hAnsi="Arial"/>
          <w:szCs w:val="24"/>
        </w:rPr>
        <w:t>, com frequência de 4800 MHz</w:t>
      </w:r>
      <w:r>
        <w:rPr>
          <w:rFonts w:cs="Times New Roman" w:ascii="Arial" w:hAnsi="Arial"/>
          <w:i/>
          <w:iCs/>
          <w:szCs w:val="24"/>
        </w:rPr>
        <w:t xml:space="preserve">, </w:t>
      </w:r>
      <w:r>
        <w:rPr>
          <w:rFonts w:cs="Times New Roman" w:ascii="Arial" w:hAnsi="Arial"/>
          <w:szCs w:val="24"/>
        </w:rPr>
        <w:t>ou configuração superior;</w:t>
      </w:r>
    </w:p>
    <w:p>
      <w:pPr>
        <w:pStyle w:val="ListParagraph"/>
        <w:widowControl/>
        <w:suppressAutoHyphens w:val="true"/>
        <w:bidi w:val="0"/>
        <w:spacing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Armazenamento Interno</w:t>
      </w:r>
      <w:r>
        <w:rPr>
          <w:rFonts w:cs="Times New Roman" w:ascii="Arial" w:hAnsi="Arial"/>
          <w:szCs w:val="24"/>
        </w:rPr>
        <w:t>: 512GB SSD M2 ou superior;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Tela</w:t>
      </w:r>
      <w:r>
        <w:rPr>
          <w:rFonts w:cs="Times New Roman" w:ascii="Arial" w:hAnsi="Arial"/>
          <w:szCs w:val="24"/>
        </w:rPr>
        <w:t>: 15,6 polegadas com resolução Full HD (1920x1080), taxa de atualização de 60HZ e tecnologia IPS, ou configurações superiores;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Teclado</w:t>
      </w:r>
      <w:r>
        <w:rPr>
          <w:rFonts w:cs="Times New Roman" w:ascii="Arial" w:hAnsi="Arial"/>
          <w:szCs w:val="24"/>
        </w:rPr>
        <w:t>: retroiluminado em padrão ABNT-2 (Língua Portuguesa com "ç");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Conectividade</w:t>
      </w:r>
      <w:r>
        <w:rPr>
          <w:rFonts w:cs="Times New Roman" w:ascii="Arial" w:hAnsi="Arial"/>
          <w:szCs w:val="24"/>
        </w:rPr>
        <w:t>: Placa de rede wireless embutida e com compatibilidade funcional e operacional com o padrão 802.11ac, Wi-Fi 6 e dual band, Bluetooth 5.1, portas USB 3.0, USB-C, Ethernet (RJ-45), HDMI e entrada fone de ouvido/microfone;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Webcam</w:t>
      </w:r>
      <w:r>
        <w:rPr>
          <w:rFonts w:cs="Times New Roman" w:ascii="Arial" w:hAnsi="Arial"/>
          <w:szCs w:val="24"/>
        </w:rPr>
        <w:t>: HD (720p) com microfone integrado, ou configuração superior;</w:t>
      </w:r>
    </w:p>
    <w:p>
      <w:pPr>
        <w:pStyle w:val="ListParagraph"/>
        <w:widowControl/>
        <w:suppressAutoHyphens w:val="true"/>
        <w:bidi w:val="0"/>
        <w:spacing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Bateria</w:t>
      </w:r>
      <w:r>
        <w:rPr>
          <w:rFonts w:cs="Times New Roman" w:ascii="Arial" w:hAnsi="Arial"/>
          <w:szCs w:val="24"/>
        </w:rPr>
        <w:t>: 4 células com 60 Wh, ou superior;</w:t>
      </w:r>
    </w:p>
    <w:p>
      <w:pPr>
        <w:pStyle w:val="ListParagraph"/>
        <w:widowControl/>
        <w:suppressAutoHyphens w:val="true"/>
        <w:bidi w:val="0"/>
        <w:spacing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cs="Times New Roman" w:ascii="Arial" w:hAnsi="Arial"/>
          <w:b/>
          <w:bCs/>
          <w:szCs w:val="24"/>
        </w:rPr>
        <w:t>Sistema Operacional</w:t>
      </w:r>
      <w:r>
        <w:rPr>
          <w:rFonts w:cs="Times New Roman" w:ascii="Arial" w:hAnsi="Arial"/>
          <w:szCs w:val="24"/>
        </w:rPr>
        <w:t xml:space="preserve">: Licença ativada do sistema Microsoft® Windows 11, 64 Bits e Idioma Português (Brasil), instalado de fábrica e com Software de </w:t>
      </w:r>
      <w:r>
        <w:rPr>
          <w:rFonts w:cs="Times New Roman" w:ascii="Arial" w:hAnsi="Arial"/>
          <w:i/>
          <w:iCs/>
          <w:szCs w:val="24"/>
        </w:rPr>
        <w:t>Recovery</w:t>
      </w:r>
      <w:r>
        <w:rPr>
          <w:rFonts w:cs="Times New Roman" w:ascii="Arial" w:hAnsi="Arial"/>
          <w:szCs w:val="24"/>
        </w:rPr>
        <w:t>.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jc w:val="both"/>
        <w:rPr/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Garantia de, no mínimo, 1 (um) ano concedida pelo fabricante do dispositivo.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 xml:space="preserve">3. SMART TV LED 55 POLEGADAS: </w:t>
      </w:r>
      <w:r>
        <w:rPr>
          <w:rFonts w:cs="Times New Roman" w:ascii="Arial" w:hAnsi="Arial"/>
          <w:b w:val="false"/>
          <w:bCs w:val="false"/>
          <w:sz w:val="24"/>
          <w:szCs w:val="24"/>
          <w:lang w:eastAsia="en-US"/>
        </w:rPr>
        <w:t xml:space="preserve">55 polegadas; tecnologia LED; Rresolução 4K UHD (3840 x 2160), com disponibilidade de recursos de imagem HDR; frequência de atualização de 60hz; conectividade Wi-Fi e Bluetooth; Entradas HDMI, USB, LAN e saída digital óptica; 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lang w:eastAsia="en-US"/>
        </w:rPr>
        <w:t xml:space="preserve">Bivolt ou 220V; </w:t>
      </w:r>
      <w:r>
        <w:rPr>
          <w:rFonts w:cs="Times New Roman" w:ascii="Arial" w:hAnsi="Arial"/>
          <w:b w:val="false"/>
          <w:bCs w:val="false"/>
          <w:sz w:val="24"/>
          <w:szCs w:val="24"/>
          <w:lang w:eastAsia="en-US"/>
        </w:rPr>
        <w:t>Garantia de, no mínimo, 1 (um) ano concedida pelo fabricante do dispositivo.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4. TABLET ANDROID: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CPU:</w:t>
      </w:r>
      <w:r>
        <w:rPr>
          <w:rFonts w:cs="Times New Roman" w:ascii="Arial" w:hAnsi="Arial"/>
          <w:szCs w:val="24"/>
        </w:rPr>
        <w:t xml:space="preserve"> </w:t>
      </w:r>
      <w:r>
        <w:rPr>
          <w:rFonts w:cs="Times New Roman" w:ascii="Arial" w:hAnsi="Arial"/>
          <w:i/>
          <w:iCs/>
          <w:szCs w:val="24"/>
        </w:rPr>
        <w:t>Chipset</w:t>
      </w:r>
      <w:r>
        <w:rPr>
          <w:rFonts w:cs="Times New Roman" w:ascii="Arial" w:hAnsi="Arial"/>
          <w:szCs w:val="24"/>
        </w:rPr>
        <w:t xml:space="preserve"> com oito núcleos de processamento (</w:t>
      </w:r>
      <w:r>
        <w:rPr>
          <w:rFonts w:cs="Times New Roman" w:ascii="Arial" w:hAnsi="Arial"/>
          <w:i/>
          <w:iCs/>
          <w:szCs w:val="24"/>
        </w:rPr>
        <w:t>octa-core</w:t>
      </w:r>
      <w:r>
        <w:rPr>
          <w:rFonts w:cs="Times New Roman" w:ascii="Arial" w:hAnsi="Arial"/>
          <w:szCs w:val="24"/>
        </w:rPr>
        <w:t xml:space="preserve">), </w:t>
      </w:r>
      <w:r>
        <w:rPr>
          <w:rFonts w:cs="Times New Roman" w:ascii="Arial" w:hAnsi="Arial"/>
          <w:i/>
          <w:iCs/>
          <w:szCs w:val="24"/>
        </w:rPr>
        <w:t>clock</w:t>
      </w:r>
      <w:r>
        <w:rPr>
          <w:rFonts w:cs="Times New Roman" w:ascii="Arial" w:hAnsi="Arial"/>
          <w:szCs w:val="24"/>
        </w:rPr>
        <w:t xml:space="preserve"> de 2.4 GHz, litografia de 5nm, suporte 5G, arquitetura ARM em 64 bits e com placa gráfica integrada devidamente compatível, devendo possuir performance com pontuação mínima de 10.000 (dez mil) pontos no </w:t>
      </w:r>
      <w:r>
        <w:rPr>
          <w:rFonts w:cs="Times New Roman" w:ascii="Arial" w:hAnsi="Arial"/>
          <w:i/>
          <w:iCs/>
          <w:szCs w:val="24"/>
        </w:rPr>
        <w:t>benchmark</w:t>
      </w:r>
      <w:r>
        <w:rPr>
          <w:rFonts w:cs="Times New Roman" w:ascii="Arial" w:hAnsi="Arial"/>
          <w:szCs w:val="24"/>
        </w:rPr>
        <w:t xml:space="preserve"> “</w:t>
      </w:r>
      <w:r>
        <w:rPr>
          <w:rFonts w:cs="Times New Roman" w:ascii="Arial" w:hAnsi="Arial"/>
          <w:i/>
          <w:iCs/>
          <w:szCs w:val="24"/>
        </w:rPr>
        <w:t>PerformanceTest V10”</w:t>
      </w:r>
      <w:r>
        <w:rPr>
          <w:rFonts w:cs="Times New Roman" w:ascii="Arial" w:hAnsi="Arial"/>
          <w:szCs w:val="24"/>
        </w:rPr>
        <w:t xml:space="preserve">, da </w:t>
      </w:r>
      <w:r>
        <w:rPr>
          <w:rFonts w:ascii="Arial" w:hAnsi="Arial"/>
        </w:rPr>
        <w:t>PassMark® Software, (</w:t>
      </w:r>
      <w:hyperlink r:id="rId6">
        <w:r>
          <w:rPr>
            <w:rStyle w:val="LinkdaInternet"/>
            <w:rFonts w:ascii="Arial" w:hAnsi="Arial"/>
          </w:rPr>
          <w:t>https://www.androidbenchmark.net/device_list.php</w:t>
        </w:r>
      </w:hyperlink>
      <w:r>
        <w:rPr>
          <w:rFonts w:ascii="Arial" w:hAnsi="Arial"/>
        </w:rPr>
        <w:t xml:space="preserve">). Para efeitos de referência, foi utilizado o processador </w:t>
      </w:r>
      <w:r>
        <w:rPr>
          <w:rFonts w:cs="Times New Roman" w:ascii="Arial" w:hAnsi="Arial"/>
          <w:szCs w:val="24"/>
        </w:rPr>
        <w:t>Samsung</w:t>
      </w:r>
      <w:r>
        <w:rPr>
          <w:rFonts w:cs="Times New Roman" w:ascii="Arial" w:hAnsi="Arial"/>
          <w:szCs w:val="24"/>
          <w14:ligatures w14:val="none"/>
        </w:rPr>
        <w:t>®</w:t>
      </w:r>
      <w:r>
        <w:rPr>
          <w:rFonts w:cs="Times New Roman" w:ascii="Arial" w:hAnsi="Arial"/>
          <w:szCs w:val="24"/>
        </w:rPr>
        <w:t xml:space="preserve"> Exynos</w:t>
      </w:r>
      <w:r>
        <w:rPr>
          <w:rFonts w:cs="Times New Roman" w:ascii="Arial" w:hAnsi="Arial"/>
          <w:szCs w:val="24"/>
          <w14:ligatures w14:val="none"/>
        </w:rPr>
        <w:t>™</w:t>
      </w:r>
      <w:r>
        <w:rPr>
          <w:rFonts w:cs="Times New Roman" w:ascii="Arial" w:hAnsi="Arial"/>
          <w:szCs w:val="24"/>
        </w:rPr>
        <w:t xml:space="preserve"> 1280</w:t>
      </w:r>
      <w:r>
        <w:rPr>
          <w:rFonts w:cs="Times New Roman" w:ascii="Arial" w:hAnsi="Arial"/>
          <w:szCs w:val="24"/>
          <w14:ligatures w14:val="none"/>
        </w:rPr>
        <w:t>, sendo</w:t>
      </w:r>
      <w:r>
        <w:rPr>
          <w:rFonts w:ascii="Arial" w:hAnsi="Arial"/>
        </w:rPr>
        <w:t xml:space="preserve"> aceitos outros </w:t>
      </w:r>
      <w:r>
        <w:rPr>
          <w:rFonts w:ascii="Arial" w:hAnsi="Arial"/>
          <w:i/>
          <w:iCs/>
        </w:rPr>
        <w:t>SOCs</w:t>
      </w:r>
      <w:r>
        <w:rPr>
          <w:rFonts w:ascii="Arial" w:hAnsi="Arial"/>
        </w:rPr>
        <w:t xml:space="preserve"> de performance igual ou superior, desde que auferidos pelo </w:t>
      </w:r>
      <w:r>
        <w:rPr>
          <w:rFonts w:ascii="Arial" w:hAnsi="Arial"/>
          <w:i/>
          <w:iCs/>
        </w:rPr>
        <w:t>Passmark</w:t>
      </w:r>
      <w:r>
        <w:rPr>
          <w:rFonts w:ascii="Arial" w:hAnsi="Arial"/>
        </w:rPr>
        <w:t xml:space="preserve"> </w:t>
      </w:r>
      <w:r>
        <w:rPr>
          <w:rFonts w:ascii="Arial" w:hAnsi="Arial"/>
          <w:i/>
          <w:iCs/>
        </w:rPr>
        <w:t>Software</w:t>
      </w:r>
      <w:r>
        <w:rPr>
          <w:rFonts w:ascii="Arial" w:hAnsi="Arial"/>
        </w:rPr>
        <w:t>, sistema padrão-industrial para diagnóstico da capacidade de desempenho de peças de processamento.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/>
      </w:pPr>
      <w:r>
        <w:rPr/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Memória RAM</w:t>
      </w:r>
      <w:r>
        <w:rPr>
          <w:rFonts w:cs="Times New Roman" w:ascii="Arial" w:hAnsi="Arial"/>
          <w:szCs w:val="24"/>
        </w:rPr>
        <w:t>: 4GB ou superior;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 w:cs="Times New Roman"/>
          <w:szCs w:val="24"/>
        </w:rPr>
      </w:pPr>
      <w:r>
        <w:rPr>
          <w:rFonts w:cs="Times New Roman" w:ascii="Arial" w:hAnsi="Arial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Armazenamento Interno</w:t>
      </w:r>
      <w:r>
        <w:rPr>
          <w:rFonts w:cs="Times New Roman" w:ascii="Arial" w:hAnsi="Arial"/>
          <w:szCs w:val="24"/>
        </w:rPr>
        <w:t>: 64 GB ou superior, sendo preferível a possibilidade de expansão de memória através de cartão MicroSDXC;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 w:cs="Times New Roman"/>
          <w:szCs w:val="24"/>
        </w:rPr>
      </w:pPr>
      <w:r>
        <w:rPr>
          <w:rFonts w:cs="Times New Roman" w:ascii="Arial" w:hAnsi="Arial"/>
          <w:szCs w:val="24"/>
        </w:rPr>
      </w:r>
    </w:p>
    <w:p>
      <w:pPr>
        <w:pStyle w:val="ListParagraph"/>
        <w:widowControl/>
        <w:tabs>
          <w:tab w:val="clear" w:pos="708"/>
          <w:tab w:val="left" w:pos="960" w:leader="none"/>
        </w:tabs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Tela</w:t>
      </w:r>
      <w:r>
        <w:rPr>
          <w:rFonts w:cs="Times New Roman" w:ascii="Arial" w:hAnsi="Arial"/>
          <w:szCs w:val="24"/>
        </w:rPr>
        <w:t>: 10.4 polegadas, com resolução mínima de 1920x1080 pixels (ou equivalente, em caso de proporção diferente do tradicional 16:9) e tecnologia TFT LCD, ou configuração superior;</w:t>
      </w:r>
    </w:p>
    <w:p>
      <w:pPr>
        <w:pStyle w:val="ListParagraph"/>
        <w:widowControl/>
        <w:tabs>
          <w:tab w:val="clear" w:pos="708"/>
          <w:tab w:val="left" w:pos="960" w:leader="none"/>
        </w:tabs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 w:cs="Times New Roman"/>
          <w:szCs w:val="24"/>
        </w:rPr>
      </w:pPr>
      <w:r>
        <w:rPr>
          <w:rFonts w:cs="Times New Roman" w:ascii="Arial" w:hAnsi="Arial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Câmeras</w:t>
      </w:r>
      <w:r>
        <w:rPr>
          <w:rFonts w:cs="Times New Roman" w:ascii="Arial" w:hAnsi="Arial"/>
          <w:szCs w:val="24"/>
        </w:rPr>
        <w:t xml:space="preserve">: Sensor traseiro de 8MP, tamanho de 1/4.0", </w:t>
      </w:r>
      <w:r>
        <w:rPr>
          <w:rFonts w:cs="Times New Roman" w:ascii="Arial" w:hAnsi="Arial"/>
          <w:i/>
          <w:iCs/>
          <w:szCs w:val="24"/>
        </w:rPr>
        <w:t>pixels</w:t>
      </w:r>
      <w:r>
        <w:rPr>
          <w:rFonts w:cs="Times New Roman" w:ascii="Arial" w:hAnsi="Arial"/>
          <w:szCs w:val="24"/>
        </w:rPr>
        <w:t xml:space="preserve"> com 1.12µm, AF, HDR e capacidade de gravação de vídeo a 1080p e sensor frontal de 5MP, tamanho de 1/5.0’’, </w:t>
      </w:r>
      <w:r>
        <w:rPr>
          <w:rFonts w:cs="Times New Roman" w:ascii="Arial" w:hAnsi="Arial"/>
          <w:i/>
          <w:iCs/>
          <w:szCs w:val="24"/>
        </w:rPr>
        <w:t>pixels</w:t>
      </w:r>
      <w:r>
        <w:rPr>
          <w:rFonts w:cs="Times New Roman" w:ascii="Arial" w:hAnsi="Arial"/>
          <w:szCs w:val="24"/>
        </w:rPr>
        <w:t xml:space="preserve"> com 1.12µm e capacidade de gravação de vídeo a 1080p, ou configurações superiores;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 w:cs="Times New Roman"/>
          <w:szCs w:val="24"/>
        </w:rPr>
      </w:pPr>
      <w:r>
        <w:rPr>
          <w:rFonts w:cs="Times New Roman" w:ascii="Arial" w:hAnsi="Arial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Sistema Operacional</w:t>
      </w:r>
      <w:r>
        <w:rPr>
          <w:rFonts w:cs="Times New Roman" w:ascii="Arial" w:hAnsi="Arial"/>
          <w:szCs w:val="24"/>
        </w:rPr>
        <w:t>: Android 14 ou versão mais atualizada;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 w:cs="Times New Roman"/>
          <w:szCs w:val="24"/>
        </w:rPr>
      </w:pPr>
      <w:r>
        <w:rPr>
          <w:rFonts w:cs="Times New Roman" w:ascii="Arial" w:hAnsi="Arial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Conectividade</w:t>
      </w:r>
      <w:r>
        <w:rPr>
          <w:rFonts w:cs="Times New Roman" w:ascii="Arial" w:hAnsi="Arial"/>
          <w:szCs w:val="24"/>
        </w:rPr>
        <w:t>: Wi-Fi padrão 802.11 a/b/g/n/ac, dual-band e Wi-Fi Direct, Bluetooth 5.3, com A2DP e LE, GPS Glonass, Beidou e Galileo, USB-C 2.0 e conexão 3.5mm Estéreo (Padrão P2), com especificações equivalentes ou superiores;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hanging="0"/>
        <w:contextualSpacing w:val="false"/>
        <w:jc w:val="both"/>
        <w:textAlignment w:val="baseline"/>
        <w:rPr>
          <w:rFonts w:ascii="Arial" w:hAnsi="Arial" w:cs="Times New Roman"/>
          <w:szCs w:val="24"/>
        </w:rPr>
      </w:pPr>
      <w:r>
        <w:rPr>
          <w:rFonts w:cs="Times New Roman" w:ascii="Arial" w:hAnsi="Arial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360" w:before="0" w:after="0"/>
        <w:ind w:left="0" w:right="0" w:hanging="0"/>
        <w:contextualSpacing w:val="false"/>
        <w:jc w:val="both"/>
        <w:textAlignment w:val="baseline"/>
        <w:rPr/>
      </w:pPr>
      <w:r>
        <w:rPr>
          <w:rFonts w:cs="Times New Roman" w:ascii="Arial" w:hAnsi="Arial"/>
          <w:b/>
          <w:bCs/>
          <w:szCs w:val="24"/>
        </w:rPr>
        <w:t>Bateria</w:t>
      </w:r>
      <w:r>
        <w:rPr>
          <w:rFonts w:cs="Times New Roman" w:ascii="Arial" w:hAnsi="Arial"/>
          <w:szCs w:val="24"/>
        </w:rPr>
        <w:t>: 7040 mAh ou de superior capacidade, com capacidade de carregamento de, no mínimo, 15W;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 xml:space="preserve">Acessórios: </w:t>
      </w:r>
      <w:r>
        <w:rPr>
          <w:rFonts w:cs="Times New Roman" w:ascii="Arial" w:hAnsi="Arial"/>
          <w:b w:val="false"/>
          <w:bCs w:val="false"/>
          <w:sz w:val="24"/>
          <w:szCs w:val="24"/>
          <w:lang w:eastAsia="en-US"/>
        </w:rPr>
        <w:t xml:space="preserve">o modelo deve ter incluído, em sua caixa, adaptador de tomada, original e plenamente compatível, para carregamento, caneta </w:t>
      </w:r>
      <w:r>
        <w:rPr>
          <w:rFonts w:cs="Times New Roman" w:ascii="Arial" w:hAnsi="Arial"/>
          <w:b w:val="false"/>
          <w:bCs w:val="false"/>
          <w:i/>
          <w:iCs/>
          <w:sz w:val="24"/>
          <w:szCs w:val="24"/>
          <w:lang w:eastAsia="en-US"/>
        </w:rPr>
        <w:t xml:space="preserve">touch, </w:t>
      </w:r>
      <w:r>
        <w:rPr>
          <w:rFonts w:cs="Times New Roman" w:ascii="Arial" w:hAnsi="Arial"/>
          <w:b w:val="false"/>
          <w:bCs w:val="false"/>
          <w:sz w:val="24"/>
          <w:szCs w:val="24"/>
          <w:lang w:eastAsia="en-US"/>
        </w:rPr>
        <w:t xml:space="preserve">com plena compatibilidade, para navegação e capa de proteção com dimensões proporcionais ao tamanho do </w:t>
      </w:r>
      <w:r>
        <w:rPr>
          <w:rFonts w:cs="Times New Roman" w:ascii="Arial" w:hAnsi="Arial"/>
          <w:b w:val="false"/>
          <w:bCs w:val="false"/>
          <w:i/>
          <w:iCs/>
          <w:sz w:val="24"/>
          <w:szCs w:val="24"/>
          <w:lang w:eastAsia="en-US"/>
        </w:rPr>
        <w:t>tablet</w:t>
      </w:r>
      <w:r>
        <w:rPr>
          <w:rFonts w:cs="Times New Roman" w:ascii="Arial" w:hAnsi="Arial"/>
          <w:b w:val="false"/>
          <w:bCs w:val="false"/>
          <w:sz w:val="24"/>
          <w:szCs w:val="24"/>
          <w:lang w:eastAsia="en-US"/>
        </w:rPr>
        <w:t>, fabricada em material de resina ou silicone liso ao toque, que envolva todo o aparelho, com a função de servir como suporte para visualização em ângulos e com a capacidade de despertar e hibernar automaticamente o dispositivo.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ascii="Arial" w:hAnsi="Arial"/>
        </w:rPr>
      </w:r>
      <w:r>
        <w:br w:type="page"/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ANEXO III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MODELO DE PROPOSTA</w:t>
      </w:r>
    </w:p>
    <w:p>
      <w:pPr>
        <w:pStyle w:val="Normal"/>
        <w:spacing w:lineRule="auto" w:line="360"/>
        <w:jc w:val="both"/>
        <w:rPr>
          <w:rFonts w:ascii="Arial" w:hAnsi="Arial" w:cs="Times New Roman"/>
          <w:b/>
          <w:bCs/>
          <w:sz w:val="24"/>
          <w:szCs w:val="24"/>
          <w:lang w:eastAsia="en-US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ascii="Arial" w:hAnsi="Arial"/>
          <w:sz w:val="24"/>
          <w:szCs w:val="24"/>
        </w:rPr>
        <w:t>DISPENSA DE LICITAÇÃO N.º 8/2024</w:t>
      </w:r>
    </w:p>
    <w:p>
      <w:pPr>
        <w:pStyle w:val="Normal"/>
        <w:spacing w:lineRule="auto" w:line="360" w:before="0" w:after="0"/>
        <w:jc w:val="center"/>
        <w:rPr>
          <w:rFonts w:ascii="Arial" w:hAnsi="Arial"/>
          <w:color w:val="000000"/>
          <w:kern w:val="0"/>
          <w:sz w:val="24"/>
          <w:szCs w:val="24"/>
        </w:rPr>
      </w:pPr>
      <w:r>
        <w:rPr>
          <w:rFonts w:ascii="Arial" w:hAnsi="Arial"/>
          <w:color w:val="000000"/>
          <w:kern w:val="0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Arial" w:hAnsi="Arial"/>
          <w:color w:val="000000"/>
          <w:kern w:val="0"/>
          <w:sz w:val="24"/>
          <w:szCs w:val="24"/>
        </w:rPr>
      </w:pPr>
      <w:r>
        <w:rPr>
          <w:rFonts w:ascii="Arial" w:hAnsi="Arial"/>
          <w:color w:val="000000"/>
          <w:kern w:val="0"/>
          <w:sz w:val="24"/>
          <w:szCs w:val="24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jc w:val="both"/>
        <w:rPr/>
      </w:pPr>
      <w:r>
        <w:rPr>
          <w:rStyle w:val="Fontepargpadro"/>
          <w:rFonts w:cs="Times New Roman" w:ascii="Arial" w:hAnsi="Arial"/>
          <w:b w:val="false"/>
          <w:bCs w:val="false"/>
          <w:sz w:val="24"/>
          <w:szCs w:val="24"/>
          <w:lang w:eastAsia="en-US"/>
        </w:rPr>
        <w:t>A empresa .................................................................., CNPJ  n.º ............................................................, com sede à rua ............................................…………...., na cidade de .....................………….., vem por meio desta, apresentar proposta para participação na Dispensa de Licitação n.º 08</w:t>
      </w:r>
      <w:r>
        <w:rPr>
          <w:rStyle w:val="Fontepargpadro"/>
          <w:rFonts w:eastAsia="Arial" w:cs="Times New Roman" w:ascii="Arial" w:hAnsi="Arial"/>
          <w:b w:val="false"/>
          <w:bCs w:val="false"/>
          <w:sz w:val="24"/>
          <w:szCs w:val="24"/>
          <w:lang w:eastAsia="en-US"/>
        </w:rPr>
        <w:t>/2024.</w:t>
      </w:r>
    </w:p>
    <w:p>
      <w:pPr>
        <w:pStyle w:val="Normal"/>
        <w:spacing w:lineRule="auto" w:line="360"/>
        <w:ind w:firstLine="851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5"/>
        <w:gridCol w:w="3853"/>
        <w:gridCol w:w="1106"/>
        <w:gridCol w:w="743"/>
        <w:gridCol w:w="1274"/>
        <w:gridCol w:w="1410"/>
      </w:tblGrid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Item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Especificação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Unidade de Medida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Qnt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Valor  unitário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Valor orçado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01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Splitter HDMI 1x4 4K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05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02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Notebook Windows de alta performance, conforme especificações detalhadas em descritivo técnico.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20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03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SMART TV 55’’ 4K LED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05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04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lang w:val="pt-BR" w:bidi="ar-SA"/>
              </w:rPr>
              <w:t>Tablet Android 11’’, conforme especificações detalhadas em descritivo técnico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pt-BR" w:bidi="ar-SA"/>
              </w:rPr>
              <w:t>160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360"/>
        <w:ind w:firstLine="709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/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  <w:r>
        <w:br w:type="page"/>
      </w:r>
    </w:p>
    <w:p>
      <w:pPr>
        <w:pStyle w:val="Normal"/>
        <w:widowControl w:val="false"/>
        <w:spacing w:lineRule="auto" w:line="360"/>
        <w:jc w:val="center"/>
        <w:rPr>
          <w:rFonts w:ascii="Arial" w:hAnsi="Arial"/>
        </w:rPr>
      </w:pPr>
      <w:r>
        <w:rPr>
          <w:rFonts w:cs="Aptos Display" w:ascii="Arial" w:hAnsi="Arial" w:cstheme="majorHAnsi"/>
          <w:b/>
          <w:bCs/>
          <w:sz w:val="24"/>
          <w:szCs w:val="24"/>
        </w:rPr>
        <w:t xml:space="preserve">ANEXO IV </w:t>
      </w:r>
    </w:p>
    <w:p>
      <w:pPr>
        <w:pStyle w:val="Normal"/>
        <w:widowControl w:val="false"/>
        <w:spacing w:lineRule="auto" w:line="360"/>
        <w:jc w:val="center"/>
        <w:rPr>
          <w:rFonts w:ascii="Arial" w:hAnsi="Arial" w:cs="Aptos Display" w:cstheme="majorHAnsi"/>
          <w:b/>
          <w:bCs/>
        </w:rPr>
      </w:pPr>
      <w:r>
        <w:rPr>
          <w:rFonts w:cs="Aptos Display" w:cstheme="majorHAnsi" w:ascii="Arial" w:hAnsi="Arial"/>
          <w:b/>
          <w:bCs/>
        </w:rPr>
      </w:r>
    </w:p>
    <w:p>
      <w:pPr>
        <w:pStyle w:val="Normal"/>
        <w:widowControl w:val="false"/>
        <w:spacing w:lineRule="auto" w:line="36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lang w:eastAsia="ar-SA"/>
        </w:rPr>
        <w:t>D</w:t>
      </w:r>
      <w:r>
        <w:rPr>
          <w:rStyle w:val="Fontepargpadro"/>
          <w:rFonts w:cs="Times New Roman" w:ascii="Arial" w:hAnsi="Arial"/>
          <w:b/>
          <w:bCs/>
          <w:sz w:val="24"/>
          <w:szCs w:val="24"/>
          <w:shd w:fill="FFFFFF" w:val="clear"/>
          <w:lang w:eastAsia="ar-SA"/>
        </w:rPr>
        <w:t>eclaração de inexistência de fato impeditivo para licitar ou contratar com a Administração Pública e de</w:t>
      </w: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 xml:space="preserve"> pleno conhecimento e aceitação das regras e das condições gerais da contratação, constantes do procedimento;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cs="Times New Roman" w:ascii="Arial" w:hAnsi="Arial"/>
          <w:b/>
          <w:bCs/>
          <w:sz w:val="24"/>
          <w:szCs w:val="24"/>
          <w:highlight w:val="white"/>
          <w:lang w:val="pt-PT" w:eastAsia="ar-SA"/>
        </w:rPr>
        <w:t>DISPENSA DE LICITAÇÃO N.º 8/2024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/>
      </w:pPr>
      <w:r>
        <w:rPr>
          <w:rStyle w:val="Fontepargpadro"/>
          <w:rFonts w:ascii="Arial" w:hAnsi="Arial"/>
          <w:sz w:val="24"/>
          <w:szCs w:val="24"/>
        </w:rPr>
        <w:t>Declaramos que não existem fatos impeditivos quanto à habilitação, participação e contratação com a Câmara Municipal de Sarandi(RS), comprometendo-nos a mantermos nessa condição até o término da contratação, bem como que aceitamos integralmente os termos e condições da presente Licitação, bem como as disposições contidas na Lei n.º 14.133/21 e suas alterações.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>Por ser verdade, firmamos a presente declaração para que produza seus efeitos de direito.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0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0"/>
          <w:szCs w:val="24"/>
          <w:highlight w:val="white"/>
          <w:lang w:val="pt-PT" w:eastAsia="ar-SA"/>
        </w:rPr>
      </w:r>
      <w:r>
        <w:br w:type="page"/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>ANEXO V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shd w:fill="FFFFFF" w:val="clear"/>
          <w:lang w:val="pt-PT" w:eastAsia="ar-SA"/>
        </w:rPr>
        <w:t>Declaração de</w:t>
      </w: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 xml:space="preserve"> cumprimento do disposto no </w:t>
      </w:r>
      <w:r>
        <w:rPr>
          <w:rStyle w:val="Nfase"/>
          <w:rFonts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>inciso XXXIII do art. 7º da Constituição Federal (não emprega menor de idade).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>DISPENSA DE LICITAÇÃO N.º 8/2024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 w:eastAsia="Arial" w:cs="Times New Roman"/>
          <w:b/>
          <w:bCs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 w:eastAsia="Arial" w:cs="Times New Roman"/>
          <w:b/>
          <w:bCs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Corpodotexto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30" w:right="0" w:hanging="0"/>
        <w:jc w:val="both"/>
        <w:rPr/>
      </w:pPr>
      <w:r>
        <w:rPr>
          <w:rStyle w:val="Fontepargpadro"/>
          <w:rFonts w:eastAsia="Arial" w:cs="Times New Roman" w:ascii="Arial" w:hAnsi="Arial"/>
          <w:b w:val="false"/>
          <w:bCs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ab/>
        <w:t>A empresa …………………………………………………….., inscrita no CNPJ sob o n.º ……………………………………………. declara, em atendimento ao previsto na licitação em epígrafe, que não possui em seu quadro de pessoal, empregados com menos de 18 (dezoito) anos em trabalho noturno, perigoso ou insalubre e de 14 (quatorze) em qualquer trabalho, salvo na condição de aprendiz, nos termos do inciso XXXIII do art. 7º da Constituição Federal de 1988.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i w:val="false"/>
          <w:i w:val="false"/>
          <w:iCs w:val="false"/>
          <w:color w:val="000000"/>
          <w:spacing w:val="0"/>
          <w:sz w:val="20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Aptos Display" w:cstheme="majorHAnsi" w:ascii="Arial" w:hAnsi="Arial"/>
          <w:b w:val="false"/>
          <w:bCs/>
          <w:i w:val="false"/>
          <w:iCs w:val="false"/>
          <w:color w:val="000000"/>
          <w:spacing w:val="0"/>
          <w:sz w:val="20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hanging="0"/>
        <w:jc w:val="center"/>
        <w:rPr>
          <w:rFonts w:ascii="Arial" w:hAnsi="Arial" w:eastAsia="Arial" w:cs="Times New Roman"/>
          <w:b/>
          <w:bCs/>
          <w:sz w:val="24"/>
          <w:szCs w:val="24"/>
        </w:rPr>
      </w:pPr>
      <w:r>
        <w:rPr>
          <w:rFonts w:eastAsia="Arial" w:cs="Times New Roman" w:ascii="Arial" w:hAnsi="Arial"/>
          <w:b/>
          <w:bCs/>
          <w:sz w:val="24"/>
          <w:szCs w:val="24"/>
        </w:rPr>
      </w:r>
      <w:r>
        <w:br w:type="page"/>
      </w:r>
    </w:p>
    <w:p>
      <w:pPr>
        <w:pStyle w:val="Normal"/>
        <w:tabs>
          <w:tab w:val="clear" w:pos="708"/>
          <w:tab w:val="left" w:pos="1183" w:leader="none"/>
        </w:tabs>
        <w:spacing w:lineRule="auto" w:line="360"/>
        <w:ind w:left="0" w:right="0" w:hanging="0"/>
        <w:jc w:val="center"/>
        <w:rPr/>
      </w:pPr>
      <w:r>
        <w:rPr>
          <w:rStyle w:val="Nfase"/>
          <w:rFonts w:cs="Times New Roman" w:ascii="Arial" w:hAnsi="Arial"/>
          <w:b/>
          <w:bCs/>
          <w:i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>ANEXO VI</w:t>
      </w:r>
    </w:p>
    <w:p>
      <w:pPr>
        <w:pStyle w:val="Normal"/>
        <w:tabs>
          <w:tab w:val="clear" w:pos="708"/>
          <w:tab w:val="left" w:pos="1183" w:leader="none"/>
        </w:tabs>
        <w:spacing w:lineRule="auto" w:line="360"/>
        <w:ind w:left="0" w:right="0" w:hanging="0"/>
        <w:jc w:val="center"/>
        <w:rPr/>
      </w:pPr>
      <w:r>
        <w:rPr>
          <w:rStyle w:val="Nfase"/>
          <w:rFonts w:cs="Times New Roman" w:ascii="Arial" w:hAnsi="Arial"/>
          <w:b/>
          <w:bCs/>
          <w:i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>Declaração de enquadramento como ME/EPP/MEI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rPr>
          <w:rFonts w:ascii="Arial" w:hAnsi="Arial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rPr/>
      </w:pPr>
      <w:r>
        <w:rPr>
          <w:rStyle w:val="Fontepargpadro"/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>DISPENSA DE LICITAÇÃO N.º 8/2024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jc w:val="both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ind w:left="0" w:right="0" w:firstLine="794"/>
        <w:jc w:val="both"/>
        <w:rPr/>
      </w:pPr>
      <w:r>
        <w:rPr>
          <w:rStyle w:val="Fontepargpadro"/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>DECLARO, sob as penas da lei, sem prejuízo das sanções e multas previstas neste ato convocatório, que a empresa ................................................, inscrita no CNPJ/MF sob n.º .......................................... é MICROEMPRESA, EMPRESA DE PEQUENO PORTE ou MICROEMPREENDEDOR INDIVIDUAL, nos termos do enquadramento previsto na Lei Complementar n.º 123, de 14 de dezembro de 2006, alterada pela Lei Complementar n.º 147, de 7 de agosto de 2014, cujos termos declaro conhecer na íntegra, estando apta, portanto, a participar da Dispensa de Licitação n.º 8/2024, realizado pela Câmara Municipal de Sarandi.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ind w:left="0" w:right="0" w:firstLine="794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ind w:left="0" w:right="0" w:firstLine="794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1183" w:leader="none"/>
        </w:tabs>
        <w:spacing w:lineRule="auto" w:line="36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Calibri Light" w:ascii="Arial" w:hAnsi="Arial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Calibri Light" w:ascii="Arial" w:hAnsi="Arial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Cs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Cs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Cs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Calibri Light" w:ascii="Arial" w:hAnsi="Arial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Calibri Light" w:ascii="Arial" w:hAnsi="Arial"/>
          <w:bCs/>
          <w:sz w:val="24"/>
          <w:szCs w:val="24"/>
        </w:rPr>
        <w:t>Assinatura do Contador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Calibri Light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1133" w:gutter="0" w:header="0" w:top="2127" w:footer="0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Ecofont_Spranq_eco_Sans">
    <w:charset w:val="00"/>
    <w:family w:val="roman"/>
    <w:pitch w:val="variable"/>
  </w:font>
  <w:font w:name="Aptos Display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firstLine="397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rFonts w:ascii="Times New Roman" w:hAnsi="Times New Roman"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94" w:firstLine="397"/>
      </w:pPr>
      <w:rPr>
        <w:dstrike w:val="false"/>
        <w:strike w:val="false"/>
        <w:sz w:val="24"/>
        <w:i w:val="false"/>
        <w:u w:val="none"/>
        <w:b w:val="false"/>
        <w:effect w:val="none"/>
        <w:szCs w:val="24"/>
        <w:rFonts w:ascii="Times New Roman" w:hAnsi="Times New Roman" w:cs="Times New Roman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191" w:firstLine="397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588" w:firstLine="397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85" w:firstLine="397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382" w:firstLine="397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779" w:firstLine="397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176" w:firstLine="397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6456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173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-5724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-5724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-5364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-5364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-5004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-5004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-4644" w:hanging="180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color w:val="00000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color w:val="00000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5"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6456" w:hanging="360"/>
      </w:pPr>
      <w:rPr>
        <w:color w:val="000000"/>
      </w:rPr>
    </w:lvl>
    <w:lvl w:ilvl="1">
      <w:start w:val="1"/>
      <w:numFmt w:val="decimal"/>
      <w:suff w:val="nothing"/>
      <w:lvlText w:val="%1.%2"/>
      <w:lvlJc w:val="left"/>
      <w:pPr>
        <w:tabs>
          <w:tab w:val="num" w:pos="0"/>
        </w:tabs>
        <w:ind w:left="6173" w:hanging="360"/>
      </w:pPr>
      <w:rPr/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-5724" w:hanging="720"/>
      </w:pPr>
      <w:rPr/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-5724" w:hanging="720"/>
      </w:pPr>
      <w:rPr/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-5364" w:hanging="1080"/>
      </w:pPr>
      <w:rPr/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-5364" w:hanging="1080"/>
      </w:pPr>
      <w:rPr/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-5004" w:hanging="1440"/>
      </w:pPr>
      <w:rPr/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-5004" w:hanging="1440"/>
      </w:pPr>
      <w:rPr/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-4644" w:hanging="180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3"/>
    <w:lvlOverride w:ilvl="0">
      <w:startOverride w:val="1"/>
    </w:lvlOverride>
  </w:num>
  <w:num w:numId="8">
    <w:abstractNumId w:val="3"/>
  </w:num>
  <w:num w:numId="9">
    <w:abstractNumId w:val="3"/>
    <w:lvlOverride w:ilvl="0">
      <w:lvl w:ilvl="0">
        <w:start w:val="1"/>
        <w:numFmt w:val="decimal"/>
        <w:suff w:val="nothing"/>
        <w:lvlText w:val="%1."/>
        <w:lvlJc w:val="left"/>
        <w:pPr>
          <w:tabs>
            <w:tab w:val="num" w:pos="0"/>
          </w:tabs>
          <w:ind w:left="6456" w:hanging="360"/>
        </w:pPr>
        <w:rPr>
          <w:color w:val="000000"/>
        </w:rPr>
      </w:lvl>
      <w:startOverride w:val="1"/>
    </w:lvlOverride>
    <w:lvlOverride w:ilvl="0">
      <w:startOverride w:val="1"/>
    </w:lvlOverride>
    <w:lvlOverride w:ilvl="1">
      <w:lvl w:ilvl="1">
        <w:start w:val="1"/>
        <w:numFmt w:val="decimal"/>
        <w:suff w:val="nothing"/>
        <w:lvlText w:val="%1.%2"/>
        <w:lvlJc w:val="left"/>
        <w:pPr>
          <w:tabs>
            <w:tab w:val="num" w:pos="0"/>
          </w:tabs>
          <w:ind w:left="6173" w:hanging="360"/>
        </w:pPr>
        <w:rPr/>
      </w:lvl>
    </w:lvlOverride>
    <w:lvlOverride w:ilvl="1">
      <w:startOverride w:val="1"/>
    </w:lvlOverride>
    <w:lvlOverride w:ilvl="2">
      <w:lvl w:ilvl="2">
        <w:start w:val="1"/>
        <w:numFmt w:val="decimal"/>
        <w:suff w:val="nothing"/>
        <w:lvlText w:val="%1.%2.%3"/>
        <w:lvlJc w:val="left"/>
        <w:pPr>
          <w:tabs>
            <w:tab w:val="num" w:pos="0"/>
          </w:tabs>
          <w:ind w:left="-5724" w:hanging="720"/>
        </w:pPr>
        <w:rPr/>
      </w:lvl>
    </w:lvlOverride>
    <w:lvlOverride w:ilvl="2">
      <w:startOverride w:val="1"/>
    </w:lvlOverride>
    <w:lvlOverride w:ilvl="3">
      <w:lvl w:ilvl="3">
        <w:start w:val="1"/>
        <w:numFmt w:val="decimal"/>
        <w:suff w:val="nothing"/>
        <w:lvlText w:val="%1.%2.%3.%4"/>
        <w:lvlJc w:val="left"/>
        <w:pPr>
          <w:tabs>
            <w:tab w:val="num" w:pos="0"/>
          </w:tabs>
          <w:ind w:left="-5724" w:hanging="720"/>
        </w:pPr>
        <w:rPr/>
      </w:lvl>
    </w:lvlOverride>
    <w:lvlOverride w:ilvl="3">
      <w:startOverride w:val="1"/>
    </w:lvlOverride>
    <w:lvlOverride w:ilvl="4">
      <w:lvl w:ilvl="4">
        <w:start w:val="1"/>
        <w:numFmt w:val="decimal"/>
        <w:suff w:val="nothing"/>
        <w:lvlText w:val="%1.%2.%3.%4.%5"/>
        <w:lvlJc w:val="left"/>
        <w:pPr>
          <w:tabs>
            <w:tab w:val="num" w:pos="0"/>
          </w:tabs>
          <w:ind w:left="-5364" w:hanging="1080"/>
        </w:pPr>
        <w:rPr/>
      </w:lvl>
    </w:lvlOverride>
    <w:lvlOverride w:ilvl="4">
      <w:startOverride w:val="1"/>
    </w:lvlOverride>
    <w:lvlOverride w:ilvl="5">
      <w:lvl w:ilvl="5">
        <w:start w:val="1"/>
        <w:numFmt w:val="decimal"/>
        <w:suff w:val="nothing"/>
        <w:lvlText w:val="%1.%2.%3.%4.%5.%6"/>
        <w:lvlJc w:val="left"/>
        <w:pPr>
          <w:tabs>
            <w:tab w:val="num" w:pos="0"/>
          </w:tabs>
          <w:ind w:left="-5364" w:hanging="1080"/>
        </w:pPr>
        <w:rPr/>
      </w:lvl>
    </w:lvlOverride>
    <w:lvlOverride w:ilvl="5">
      <w:startOverride w:val="1"/>
    </w:lvlOverride>
    <w:lvlOverride w:ilvl="6">
      <w:lvl w:ilvl="6">
        <w:start w:val="1"/>
        <w:numFmt w:val="decimal"/>
        <w:suff w:val="nothing"/>
        <w:lvlText w:val="%1.%2.%3.%4.%5.%6.%7"/>
        <w:lvlJc w:val="left"/>
        <w:pPr>
          <w:tabs>
            <w:tab w:val="num" w:pos="0"/>
          </w:tabs>
          <w:ind w:left="-5004" w:hanging="1440"/>
        </w:pPr>
        <w:rPr/>
      </w:lvl>
    </w:lvlOverride>
    <w:lvlOverride w:ilvl="6">
      <w:startOverride w:val="1"/>
    </w:lvlOverride>
    <w:lvlOverride w:ilvl="7">
      <w:lvl w:ilvl="7">
        <w:start w:val="1"/>
        <w:numFmt w:val="decimal"/>
        <w:suff w:val="nothing"/>
        <w:lvlText w:val="%1.%2.%3.%4.%5.%6.%7.%8"/>
        <w:lvlJc w:val="left"/>
        <w:pPr>
          <w:tabs>
            <w:tab w:val="num" w:pos="0"/>
          </w:tabs>
          <w:ind w:left="-5004" w:hanging="1440"/>
        </w:pPr>
        <w:rPr/>
      </w:lvl>
    </w:lvlOverride>
    <w:lvlOverride w:ilvl="7">
      <w:startOverride w:val="1"/>
    </w:lvlOverride>
    <w:lvlOverride w:ilvl="8">
      <w:lvl w:ilvl="8">
        <w:start w:val="1"/>
        <w:numFmt w:val="decimal"/>
        <w:suff w:val="nothing"/>
        <w:lvlText w:val="%1.%2.%3.%4.%5.%6.%7.%8.%9"/>
        <w:lvlJc w:val="left"/>
        <w:pPr>
          <w:tabs>
            <w:tab w:val="num" w:pos="0"/>
          </w:tabs>
          <w:ind w:left="-4644" w:hanging="1800"/>
        </w:pPr>
        <w:rPr/>
      </w:lvl>
    </w:lvlOverride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3c8d"/>
    <w:pPr>
      <w:widowControl/>
      <w:suppressAutoHyphens w:val="true"/>
      <w:bidi w:val="0"/>
      <w:spacing w:lineRule="auto" w:line="240" w:before="0" w:after="0"/>
      <w:jc w:val="left"/>
    </w:pPr>
    <w:rPr>
      <w:rFonts w:ascii="Ecofont_Spranq_eco_Sans" w:hAnsi="Ecofont_Spranq_eco_Sans" w:eastAsia="" w:cs="Tahoma" w:eastAsiaTheme="minorEastAsia"/>
      <w:color w:val="auto"/>
      <w:kern w:val="0"/>
      <w:sz w:val="24"/>
      <w:szCs w:val="24"/>
      <w:lang w:val="pt-BR" w:eastAsia="pt-BR" w:bidi="ar-SA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f0ef3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f0ef3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f0ef3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f0ef3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f0ef3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f0ef3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f0ef3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f0ef3"/>
    <w:pPr>
      <w:keepNext w:val="true"/>
      <w:keepLines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f0ef3"/>
    <w:pPr>
      <w:keepNext w:val="true"/>
      <w:keepLines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ff0ef3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DefaultParagraphFont"/>
    <w:uiPriority w:val="9"/>
    <w:semiHidden/>
    <w:qFormat/>
    <w:rsid w:val="00ff0ef3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0F4761" w:themeColor="accent1" w:themeShade="bf"/>
    </w:rPr>
  </w:style>
  <w:style w:type="character" w:styleId="Ttulo5Char" w:customStyle="1">
    <w:name w:val="Título 5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0F4761" w:themeColor="accent1" w:themeShade="bf"/>
    </w:rPr>
  </w:style>
  <w:style w:type="character" w:styleId="Ttulo6Char" w:customStyle="1">
    <w:name w:val="Título 6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uiPriority w:val="10"/>
    <w:qFormat/>
    <w:rsid w:val="00ff0ef3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uiPriority w:val="11"/>
    <w:qFormat/>
    <w:rsid w:val="00ff0ef3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ff0ef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f0ef3"/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ff0e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ef3"/>
    <w:rPr>
      <w:b/>
      <w:bCs/>
      <w:smallCaps/>
      <w:color w:val="0F4761" w:themeColor="accent1" w:themeShade="bf"/>
      <w:spacing w:val="5"/>
    </w:rPr>
  </w:style>
  <w:style w:type="character" w:styleId="LinkdaInternet">
    <w:name w:val="Hyperlink"/>
    <w:uiPriority w:val="99"/>
    <w:unhideWhenUsed/>
    <w:rsid w:val="00ff0ef3"/>
    <w:rPr>
      <w:color w:val="000080"/>
      <w:u w:val="single"/>
    </w:rPr>
  </w:style>
  <w:style w:type="character" w:styleId="PargrafodaListaChar" w:customStyle="1">
    <w:name w:val="Parágrafo da Lista Char"/>
    <w:basedOn w:val="DefaultParagraphFont"/>
    <w:link w:val="ListParagraph"/>
    <w:uiPriority w:val="34"/>
    <w:qFormat/>
    <w:locked/>
    <w:rsid w:val="00ff0ef3"/>
    <w:rPr/>
  </w:style>
  <w:style w:type="character" w:styleId="Nivel2Char" w:customStyle="1">
    <w:name w:val="Nivel 2 Char"/>
    <w:basedOn w:val="DefaultParagraphFont"/>
    <w:link w:val="Nivel2"/>
    <w:uiPriority w:val="99"/>
    <w:qFormat/>
    <w:locked/>
    <w:rsid w:val="00ff0ef3"/>
    <w:rPr>
      <w:rFonts w:ascii="Arial" w:hAnsi="Arial" w:cs="Arial"/>
      <w:color w:val="000000"/>
      <w:lang w:eastAsia="pt-BR"/>
    </w:rPr>
  </w:style>
  <w:style w:type="character" w:styleId="Nvel2-RedChar" w:customStyle="1">
    <w:name w:val="Nível 2 -Red Char"/>
    <w:basedOn w:val="Nivel2Char"/>
    <w:link w:val="Nvel2-Red"/>
    <w:qFormat/>
    <w:locked/>
    <w:rsid w:val="00ff0ef3"/>
    <w:rPr>
      <w:rFonts w:ascii="Arial" w:hAnsi="Arial" w:cs="Arial"/>
      <w:iCs/>
      <w:color w:val="000000"/>
      <w:lang w:eastAsia="pt-BR"/>
    </w:rPr>
  </w:style>
  <w:style w:type="character" w:styleId="Nivel3Char" w:customStyle="1">
    <w:name w:val="Nivel 3 Char"/>
    <w:basedOn w:val="DefaultParagraphFont"/>
    <w:link w:val="Nivel3"/>
    <w:uiPriority w:val="99"/>
    <w:qFormat/>
    <w:locked/>
    <w:rsid w:val="00ff0ef3"/>
    <w:rPr>
      <w:rFonts w:ascii="Ecofont_Spranq_eco_Sans" w:hAnsi="Ecofont_Spranq_eco_Sans" w:cs="Tahoma"/>
      <w:lang w:eastAsia="pt-BR"/>
    </w:rPr>
  </w:style>
  <w:style w:type="character" w:styleId="Nvel1-SemNumPretoChar" w:customStyle="1">
    <w:name w:val="Nível 1-Sem Num Preto Char"/>
    <w:basedOn w:val="DefaultParagraphFont"/>
    <w:link w:val="Nvel1-SemNumPreto"/>
    <w:qFormat/>
    <w:locked/>
    <w:rsid w:val="00ff0ef3"/>
    <w:rPr>
      <w:rFonts w:ascii="Arial" w:hAnsi="Arial" w:eastAsia="" w:cs="Arial" w:eastAsiaTheme="majorEastAsia"/>
      <w:b/>
      <w:bCs/>
      <w:color w:val="FF0000"/>
      <w:spacing w:val="5"/>
      <w:sz w:val="52"/>
      <w:szCs w:val="52"/>
      <w:lang w:eastAsia="zh-CN" w:bidi="hi-IN"/>
    </w:rPr>
  </w:style>
  <w:style w:type="character" w:styleId="CabealhoChar" w:customStyle="1">
    <w:name w:val="Cabeçalho Char"/>
    <w:basedOn w:val="DefaultParagraphFont"/>
    <w:qFormat/>
    <w:rsid w:val="00ff0ef3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CabealhoChar1" w:customStyle="1">
    <w:name w:val="Cabeçalho Char1"/>
    <w:basedOn w:val="DefaultParagraphFont"/>
    <w:uiPriority w:val="99"/>
    <w:semiHidden/>
    <w:qFormat/>
    <w:rsid w:val="00ff0ef3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RodapChar" w:customStyle="1">
    <w:name w:val="Rodapé Char"/>
    <w:basedOn w:val="DefaultParagraphFont"/>
    <w:uiPriority w:val="99"/>
    <w:qFormat/>
    <w:rsid w:val="00185675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Fontepargpadro">
    <w:name w:val="Fonte parág. padrão"/>
    <w:qFormat/>
    <w:rPr/>
  </w:style>
  <w:style w:type="character" w:styleId="Nfase">
    <w:name w:val="Emphasis"/>
    <w:qFormat/>
    <w:rPr>
      <w:i/>
      <w:iCs/>
    </w:rPr>
  </w:style>
  <w:style w:type="character" w:styleId="Linkdainternetvisitado">
    <w:name w:val="FollowedHyperlink"/>
    <w:basedOn w:val="DefaultParagraphFont"/>
    <w:rPr>
      <w:color w:val="954F72" w:themeColor="followedHyperlink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ff0ef3"/>
    <w:pPr>
      <w:spacing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f0ef3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ff0ef3"/>
    <w:pPr>
      <w:spacing w:before="160" w:after="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PargrafodaListaChar"/>
    <w:uiPriority w:val="34"/>
    <w:qFormat/>
    <w:rsid w:val="00ff0ef3"/>
    <w:pPr>
      <w:spacing w:before="0" w:after="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ff0ef3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Nivel01" w:customStyle="1">
    <w:name w:val="Nivel 01"/>
    <w:basedOn w:val="Ttulo1"/>
    <w:next w:val="Normal"/>
    <w:qFormat/>
    <w:rsid w:val="00ff0ef3"/>
    <w:pPr>
      <w:numPr>
        <w:ilvl w:val="0"/>
        <w:numId w:val="1"/>
      </w:numPr>
      <w:tabs>
        <w:tab w:val="clear" w:pos="708"/>
        <w:tab w:val="left" w:pos="0" w:leader="none"/>
        <w:tab w:val="left" w:pos="360" w:leader="none"/>
      </w:tabs>
      <w:spacing w:lineRule="auto" w:line="360" w:before="0" w:after="0"/>
      <w:ind w:hanging="0"/>
      <w:jc w:val="both"/>
    </w:pPr>
    <w:rPr>
      <w:rFonts w:ascii="Arial" w:hAnsi="Arial" w:cs="Arial"/>
      <w:b/>
      <w:bCs/>
      <w:color w:val="0A1D30" w:themeColor="text2" w:themeShade="bf"/>
      <w:spacing w:val="5"/>
      <w:sz w:val="52"/>
      <w:szCs w:val="52"/>
    </w:rPr>
  </w:style>
  <w:style w:type="paragraph" w:styleId="Nivel2" w:customStyle="1">
    <w:name w:val="Nivel 2"/>
    <w:basedOn w:val="Normal"/>
    <w:link w:val="Nivel2Char"/>
    <w:uiPriority w:val="99"/>
    <w:qFormat/>
    <w:rsid w:val="00ff0ef3"/>
    <w:pPr>
      <w:numPr>
        <w:ilvl w:val="1"/>
        <w:numId w:val="1"/>
      </w:numPr>
      <w:spacing w:lineRule="auto" w:line="276" w:before="120" w:after="120"/>
      <w:jc w:val="both"/>
      <w:outlineLvl w:val="1"/>
    </w:pPr>
    <w:rPr>
      <w:rFonts w:ascii="Arial" w:hAnsi="Arial" w:eastAsia="Aptos" w:cs="Arial" w:eastAsiaTheme="minorHAnsi"/>
      <w:color w:val="000000"/>
      <w:kern w:val="2"/>
      <w14:ligatures w14:val="standardContextual"/>
    </w:rPr>
  </w:style>
  <w:style w:type="paragraph" w:styleId="Nvel2-Red" w:customStyle="1">
    <w:name w:val="Nível 2 -Red"/>
    <w:basedOn w:val="Nivel2"/>
    <w:next w:val="Nivel2"/>
    <w:link w:val="Nvel2-RedChar"/>
    <w:qFormat/>
    <w:rsid w:val="00ff0ef3"/>
    <w:pPr/>
    <w:rPr>
      <w:iCs/>
    </w:rPr>
  </w:style>
  <w:style w:type="paragraph" w:styleId="Nivel3" w:customStyle="1">
    <w:name w:val="Nivel 3"/>
    <w:basedOn w:val="Normal"/>
    <w:link w:val="Nivel3Char"/>
    <w:uiPriority w:val="99"/>
    <w:qFormat/>
    <w:rsid w:val="00ff0ef3"/>
    <w:pPr>
      <w:numPr>
        <w:ilvl w:val="2"/>
        <w:numId w:val="1"/>
      </w:numPr>
    </w:pPr>
    <w:rPr>
      <w:rFonts w:eastAsia="Aptos" w:eastAsiaTheme="minorHAnsi"/>
      <w:kern w:val="2"/>
      <w14:ligatures w14:val="standardContextual"/>
    </w:rPr>
  </w:style>
  <w:style w:type="paragraph" w:styleId="Nvel1-SemNumPreto" w:customStyle="1">
    <w:name w:val="Nível 1-Sem Num Preto"/>
    <w:basedOn w:val="Normal"/>
    <w:link w:val="Nvel1-SemNumPretoChar"/>
    <w:qFormat/>
    <w:rsid w:val="00ff0ef3"/>
    <w:pPr>
      <w:keepNext w:val="true"/>
      <w:keepLines/>
      <w:tabs>
        <w:tab w:val="clear" w:pos="708"/>
        <w:tab w:val="left" w:pos="567" w:leader="none"/>
      </w:tabs>
      <w:spacing w:lineRule="auto" w:line="276" w:before="240" w:after="120"/>
      <w:jc w:val="both"/>
      <w:outlineLvl w:val="1"/>
    </w:pPr>
    <w:rPr>
      <w:rFonts w:ascii="Arial" w:hAnsi="Arial" w:eastAsia="" w:cs="Arial" w:eastAsiaTheme="majorEastAsia"/>
      <w:b/>
      <w:bCs/>
      <w:color w:val="FF0000"/>
      <w:spacing w:val="5"/>
      <w:kern w:val="2"/>
      <w:sz w:val="52"/>
      <w:szCs w:val="52"/>
      <w:lang w:eastAsia="zh-CN" w:bidi="hi-IN"/>
      <w14:ligatures w14:val="standardContextual"/>
    </w:rPr>
  </w:style>
  <w:style w:type="paragraph" w:styleId="Nivel4" w:customStyle="1">
    <w:name w:val="Nivel 4"/>
    <w:basedOn w:val="Normal"/>
    <w:qFormat/>
    <w:rsid w:val="00ff0ef3"/>
    <w:pPr>
      <w:numPr>
        <w:ilvl w:val="3"/>
        <w:numId w:val="1"/>
      </w:numPr>
      <w:spacing w:before="120" w:after="120"/>
      <w:ind w:left="851" w:hanging="0"/>
      <w:jc w:val="both"/>
      <w:outlineLvl w:val="3"/>
    </w:pPr>
    <w:rPr>
      <w:rFonts w:ascii="Arial" w:hAnsi="Arial"/>
      <w:sz w:val="20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nhideWhenUsed/>
    <w:rsid w:val="00ff0ef3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unhideWhenUsed/>
    <w:rsid w:val="00185675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Standard" w:customStyle="1">
    <w:name w:val="Standard"/>
    <w:qFormat/>
    <w:rsid w:val="00a847cc"/>
    <w:pPr>
      <w:widowControl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  <w14:ligatures w14:val="none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Figura">
    <w:name w:val="Figura"/>
    <w:basedOn w:val="Legenda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ff0ef3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elacomgrade1">
    <w:name w:val="Tabela com grade1"/>
    <w:basedOn w:val="Tabelanormal"/>
    <w:uiPriority w:val="39"/>
    <w:rsid w:val="002428d5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planalto.gov.br/ccivil_03/leis/lcp/lcp123.htm" TargetMode="External"/><Relationship Id="rId3" Type="http://schemas.openxmlformats.org/officeDocument/2006/relationships/hyperlink" Target="https://www.planalto.gov.br/ccivil_03/leis/lcp/lcp123.htm" TargetMode="External"/><Relationship Id="rId4" Type="http://schemas.openxmlformats.org/officeDocument/2006/relationships/hyperlink" Target="https://www.cpubenchmark.net/cpu_list.php" TargetMode="External"/><Relationship Id="rId5" Type="http://schemas.openxmlformats.org/officeDocument/2006/relationships/hyperlink" Target="https://www.videocardbenchmark.net/gpu_list.php" TargetMode="External"/><Relationship Id="rId6" Type="http://schemas.openxmlformats.org/officeDocument/2006/relationships/hyperlink" Target="https://www.androidbenchmark.net/device_list.php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B4B62-0867-4813-830F-1FFD285D5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9288</TotalTime>
  <Application>LibreOffice/7.5.9.2$Windows_X86_64 LibreOffice_project/cdeefe45c17511d326101eed8008ac4092f278a9</Application>
  <AppVersion>15.0000</AppVersion>
  <Pages>19</Pages>
  <Words>3735</Words>
  <Characters>22052</Characters>
  <CharactersWithSpaces>25619</CharactersWithSpaces>
  <Paragraphs>247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dc:description/>
  <dc:language>pt-BR</dc:language>
  <cp:lastModifiedBy/>
  <dcterms:modified xsi:type="dcterms:W3CDTF">2024-09-09T14:53:51Z</dcterms:modified>
  <cp:revision>131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