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8EF75" w14:textId="77777777" w:rsidR="007A5768" w:rsidRDefault="00FF266D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DEMONSTRAÇÃO DAS VARIAÇÕES PATRIMONIAIS - Anexo 15 da Lei nº 4.320/64 PERÍODO DE DEZEMBRO/2025 </w:t>
      </w:r>
    </w:p>
    <w:p w14:paraId="0EE712F4" w14:textId="77777777" w:rsidR="007A5768" w:rsidRDefault="007A5768">
      <w:pPr>
        <w:jc w:val="both"/>
        <w:rPr>
          <w:rFonts w:ascii="Arial" w:hAnsi="Arial" w:cs="Arial"/>
          <w:b/>
          <w:bCs/>
        </w:rPr>
      </w:pPr>
    </w:p>
    <w:p w14:paraId="51CEDE00" w14:textId="77777777" w:rsidR="007A5768" w:rsidRDefault="00FF266D">
      <w:pPr>
        <w:jc w:val="center"/>
      </w:pPr>
      <w:r>
        <w:rPr>
          <w:rFonts w:ascii="Arial" w:hAnsi="Arial" w:cs="Arial"/>
          <w:b/>
          <w:bCs/>
        </w:rPr>
        <w:t>NOTAS EXPLICATIVAS:</w:t>
      </w:r>
    </w:p>
    <w:p w14:paraId="08278B28" w14:textId="77777777" w:rsidR="007A5768" w:rsidRDefault="007A5768">
      <w:pPr>
        <w:jc w:val="center"/>
        <w:rPr>
          <w:rFonts w:ascii="Arial" w:hAnsi="Arial" w:cs="Arial"/>
          <w:b/>
          <w:bCs/>
        </w:rPr>
      </w:pPr>
    </w:p>
    <w:p w14:paraId="7012393F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1:</w:t>
      </w:r>
      <w:r>
        <w:rPr>
          <w:rFonts w:ascii="Arial" w:hAnsi="Arial" w:cs="Arial"/>
        </w:rPr>
        <w:t xml:space="preserve"> Contexto Operacional:  o Poder Legislativo do Município de Sarandi/RS   pessoa jurídica de direito público, órgão da Administração direta municipal, inscrito no CNPJ sob nº 90.161.779/0001-10. </w:t>
      </w:r>
    </w:p>
    <w:p w14:paraId="062B1D2D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2:</w:t>
      </w:r>
      <w:r>
        <w:rPr>
          <w:rFonts w:ascii="Arial" w:hAnsi="Arial" w:cs="Arial"/>
        </w:rPr>
        <w:t xml:space="preserve"> Apresentação das Demonstrações Contábeis: foram elabo</w:t>
      </w:r>
      <w:r>
        <w:rPr>
          <w:rFonts w:ascii="Arial" w:hAnsi="Arial" w:cs="Arial"/>
        </w:rPr>
        <w:t>radas em observância com os dispositivos legais que regulam o assunto, em especial a Lei nº 4.320/64, a Lei Complementar nº 101/2000, os Princípios de Contabilidade, as Normas Brasileiras de Contabilidade Aplicadas ao Setor Público, o Manual de Contabilida</w:t>
      </w:r>
      <w:r>
        <w:rPr>
          <w:rFonts w:ascii="Arial" w:hAnsi="Arial" w:cs="Arial"/>
        </w:rPr>
        <w:t xml:space="preserve">de Aplicada ao Setor Público e demais disposições normativas vigentes e não havendo alteração nas políticas contábeis. </w:t>
      </w:r>
    </w:p>
    <w:p w14:paraId="3F0B016B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 xml:space="preserve">Nota 3: </w:t>
      </w:r>
      <w:r>
        <w:rPr>
          <w:rFonts w:ascii="Arial" w:hAnsi="Arial" w:cs="Arial"/>
        </w:rPr>
        <w:t xml:space="preserve"> Demonstração das Variações Patrimoniais: Elaborado de acordo com a estrutura definida no item 05 do MCASP o demonstrativo evide</w:t>
      </w:r>
      <w:r>
        <w:rPr>
          <w:rFonts w:ascii="Arial" w:hAnsi="Arial" w:cs="Arial"/>
        </w:rPr>
        <w:t>nciará as alterações verificadas no patrimônio da entidade independente da execução orçamentária, e indicará o resultado patrimonial do exercício, que será apurado pelo confronto das variações patrimoniais aumentativas e diminutivas.</w:t>
      </w:r>
    </w:p>
    <w:p w14:paraId="244236F2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</w:rPr>
        <w:t>Em 2025 o valor apurad</w:t>
      </w:r>
      <w:r>
        <w:rPr>
          <w:rFonts w:ascii="Arial" w:hAnsi="Arial" w:cs="Arial"/>
        </w:rPr>
        <w:t>o para Variações Patrimoniais Aumentativas, alcançou o montante de R$5.877.472,19, enquanto que as Variações Patrimoniais Diminutivas totalizaram o valor de R$6.023.680,07,  resultando num déficit de R$146.207,88.</w:t>
      </w:r>
    </w:p>
    <w:p w14:paraId="1B42A9EC" w14:textId="77777777" w:rsidR="007A5768" w:rsidRDefault="007A5768">
      <w:pPr>
        <w:jc w:val="both"/>
        <w:rPr>
          <w:rFonts w:ascii="Arial" w:hAnsi="Arial" w:cs="Arial"/>
        </w:rPr>
      </w:pPr>
    </w:p>
    <w:p w14:paraId="677D8B90" w14:textId="77777777" w:rsidR="007A5768" w:rsidRDefault="007A5768">
      <w:pPr>
        <w:jc w:val="center"/>
        <w:rPr>
          <w:rFonts w:ascii="Arial" w:hAnsi="Arial" w:cs="Arial"/>
        </w:rPr>
      </w:pPr>
    </w:p>
    <w:p w14:paraId="5660026E" w14:textId="77777777" w:rsidR="007A5768" w:rsidRDefault="007A5768">
      <w:pPr>
        <w:jc w:val="center"/>
        <w:rPr>
          <w:rFonts w:ascii="Arial" w:hAnsi="Arial" w:cs="Arial"/>
        </w:rPr>
      </w:pPr>
    </w:p>
    <w:p w14:paraId="3C4A1E1D" w14:textId="77777777" w:rsidR="007A5768" w:rsidRDefault="007A5768">
      <w:pPr>
        <w:jc w:val="center"/>
        <w:rPr>
          <w:rFonts w:ascii="Arial" w:hAnsi="Arial" w:cs="Arial"/>
        </w:rPr>
      </w:pPr>
    </w:p>
    <w:p w14:paraId="02720473" w14:textId="77777777" w:rsidR="007A5768" w:rsidRDefault="007A5768">
      <w:pPr>
        <w:jc w:val="center"/>
        <w:rPr>
          <w:rFonts w:ascii="Arial" w:hAnsi="Arial" w:cs="Arial"/>
        </w:rPr>
      </w:pPr>
    </w:p>
    <w:p w14:paraId="6B214EF2" w14:textId="77777777" w:rsidR="007A5768" w:rsidRDefault="007A5768">
      <w:pPr>
        <w:jc w:val="center"/>
        <w:rPr>
          <w:rFonts w:ascii="Arial" w:hAnsi="Arial" w:cs="Arial"/>
        </w:rPr>
      </w:pPr>
    </w:p>
    <w:p w14:paraId="77DE8955" w14:textId="77777777" w:rsidR="007A5768" w:rsidRDefault="007A5768">
      <w:pPr>
        <w:jc w:val="center"/>
        <w:rPr>
          <w:rFonts w:ascii="Arial" w:hAnsi="Arial" w:cs="Arial"/>
        </w:rPr>
      </w:pPr>
    </w:p>
    <w:p w14:paraId="2F47768B" w14:textId="77777777" w:rsidR="007A5768" w:rsidRDefault="007A5768">
      <w:pPr>
        <w:jc w:val="center"/>
        <w:rPr>
          <w:rFonts w:ascii="Arial" w:hAnsi="Arial" w:cs="Arial"/>
        </w:rPr>
      </w:pPr>
    </w:p>
    <w:p w14:paraId="639B854A" w14:textId="77777777" w:rsidR="007A5768" w:rsidRDefault="007A5768">
      <w:pPr>
        <w:jc w:val="center"/>
        <w:rPr>
          <w:rFonts w:ascii="Arial" w:hAnsi="Arial" w:cs="Arial"/>
        </w:rPr>
      </w:pPr>
    </w:p>
    <w:p w14:paraId="60555D12" w14:textId="77777777" w:rsidR="007A5768" w:rsidRDefault="007A5768">
      <w:pPr>
        <w:jc w:val="center"/>
        <w:rPr>
          <w:rFonts w:ascii="Arial" w:hAnsi="Arial" w:cs="Arial"/>
        </w:rPr>
      </w:pPr>
    </w:p>
    <w:p w14:paraId="45E058AD" w14:textId="77777777" w:rsidR="007A5768" w:rsidRDefault="007A5768">
      <w:pPr>
        <w:jc w:val="center"/>
        <w:rPr>
          <w:rFonts w:ascii="Arial" w:hAnsi="Arial" w:cs="Arial"/>
        </w:rPr>
      </w:pPr>
    </w:p>
    <w:p w14:paraId="4AB6B638" w14:textId="77777777" w:rsidR="007A5768" w:rsidRDefault="007A5768">
      <w:pPr>
        <w:jc w:val="center"/>
        <w:rPr>
          <w:rFonts w:ascii="Arial" w:hAnsi="Arial" w:cs="Arial"/>
        </w:rPr>
      </w:pPr>
    </w:p>
    <w:p w14:paraId="5E796639" w14:textId="77777777" w:rsidR="007A5768" w:rsidRDefault="007A5768">
      <w:pPr>
        <w:jc w:val="center"/>
        <w:rPr>
          <w:rFonts w:ascii="Arial" w:hAnsi="Arial" w:cs="Arial"/>
        </w:rPr>
      </w:pPr>
    </w:p>
    <w:p w14:paraId="7253776A" w14:textId="77777777" w:rsidR="007A5768" w:rsidRDefault="007A5768">
      <w:pPr>
        <w:jc w:val="center"/>
        <w:rPr>
          <w:rFonts w:ascii="Arial" w:hAnsi="Arial" w:cs="Arial"/>
        </w:rPr>
      </w:pPr>
    </w:p>
    <w:p w14:paraId="07190E21" w14:textId="77777777" w:rsidR="007A5768" w:rsidRDefault="007A5768">
      <w:pPr>
        <w:jc w:val="center"/>
        <w:rPr>
          <w:rFonts w:ascii="Arial" w:hAnsi="Arial" w:cs="Arial"/>
        </w:rPr>
      </w:pPr>
    </w:p>
    <w:p w14:paraId="673FBBC3" w14:textId="77777777" w:rsidR="007A5768" w:rsidRDefault="007A5768">
      <w:pPr>
        <w:jc w:val="center"/>
        <w:rPr>
          <w:rFonts w:ascii="Arial" w:hAnsi="Arial" w:cs="Arial"/>
        </w:rPr>
      </w:pPr>
    </w:p>
    <w:p w14:paraId="13131563" w14:textId="77777777" w:rsidR="007A5768" w:rsidRDefault="007A5768">
      <w:pPr>
        <w:jc w:val="center"/>
        <w:rPr>
          <w:rFonts w:ascii="Arial" w:hAnsi="Arial" w:cs="Arial"/>
        </w:rPr>
      </w:pPr>
    </w:p>
    <w:p w14:paraId="5E283FDE" w14:textId="77777777" w:rsidR="007A5768" w:rsidRDefault="007A5768">
      <w:pPr>
        <w:jc w:val="center"/>
        <w:rPr>
          <w:rFonts w:ascii="Arial" w:hAnsi="Arial" w:cs="Arial"/>
        </w:rPr>
      </w:pPr>
    </w:p>
    <w:p w14:paraId="49271DBC" w14:textId="77777777" w:rsidR="007A5768" w:rsidRDefault="007A5768">
      <w:pPr>
        <w:jc w:val="center"/>
        <w:rPr>
          <w:rFonts w:ascii="Arial" w:hAnsi="Arial" w:cs="Arial"/>
        </w:rPr>
      </w:pPr>
    </w:p>
    <w:p w14:paraId="7CAC9953" w14:textId="77777777" w:rsidR="007A5768" w:rsidRDefault="007A5768">
      <w:pPr>
        <w:jc w:val="center"/>
        <w:rPr>
          <w:rFonts w:ascii="Arial" w:hAnsi="Arial" w:cs="Arial"/>
        </w:rPr>
      </w:pPr>
    </w:p>
    <w:p w14:paraId="0482F1CD" w14:textId="77777777" w:rsidR="007A5768" w:rsidRDefault="007A5768">
      <w:pPr>
        <w:jc w:val="center"/>
        <w:rPr>
          <w:rFonts w:ascii="Arial" w:hAnsi="Arial" w:cs="Arial"/>
        </w:rPr>
      </w:pPr>
    </w:p>
    <w:p w14:paraId="2E8307A3" w14:textId="77777777" w:rsidR="007A5768" w:rsidRDefault="007A5768">
      <w:pPr>
        <w:jc w:val="center"/>
        <w:rPr>
          <w:rFonts w:ascii="Arial" w:hAnsi="Arial" w:cs="Arial"/>
        </w:rPr>
      </w:pPr>
    </w:p>
    <w:p w14:paraId="73C8BA99" w14:textId="77777777" w:rsidR="007A5768" w:rsidRDefault="007A5768">
      <w:pPr>
        <w:jc w:val="center"/>
        <w:rPr>
          <w:rFonts w:ascii="Arial" w:hAnsi="Arial" w:cs="Arial"/>
        </w:rPr>
      </w:pPr>
    </w:p>
    <w:p w14:paraId="76AB7D3C" w14:textId="77777777" w:rsidR="007A5768" w:rsidRDefault="007A5768">
      <w:pPr>
        <w:jc w:val="center"/>
        <w:rPr>
          <w:rFonts w:ascii="Arial" w:hAnsi="Arial" w:cs="Arial"/>
        </w:rPr>
      </w:pPr>
    </w:p>
    <w:p w14:paraId="2BF0582A" w14:textId="77777777" w:rsidR="007A5768" w:rsidRDefault="00FF266D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DEMONSTRAÇÃO DOS FLUXOS DE CAIXA</w:t>
      </w:r>
    </w:p>
    <w:p w14:paraId="3E73165B" w14:textId="77777777" w:rsidR="007A5768" w:rsidRDefault="00FF266D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NOTAS EXPLICATIVAS:</w:t>
      </w:r>
    </w:p>
    <w:p w14:paraId="602D6564" w14:textId="77777777" w:rsidR="007A5768" w:rsidRDefault="007A5768">
      <w:pPr>
        <w:jc w:val="center"/>
        <w:rPr>
          <w:rFonts w:ascii="Arial" w:hAnsi="Arial" w:cs="Arial"/>
          <w:b/>
          <w:bCs/>
        </w:rPr>
      </w:pPr>
    </w:p>
    <w:p w14:paraId="4897A058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1:</w:t>
      </w:r>
      <w:r>
        <w:rPr>
          <w:rFonts w:ascii="Arial" w:hAnsi="Arial" w:cs="Arial"/>
        </w:rPr>
        <w:t xml:space="preserve"> Contexto Operacional:  o Poder Legislativo do Município de Sarandi/RS   pessoa jurídica de direito público, órgão da Administração direta municipal, inscrito no CNPJ sob nº 90.161.779/0001-10. </w:t>
      </w:r>
    </w:p>
    <w:p w14:paraId="7BEF22D6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2:</w:t>
      </w:r>
      <w:r>
        <w:rPr>
          <w:rFonts w:ascii="Arial" w:hAnsi="Arial" w:cs="Arial"/>
        </w:rPr>
        <w:t xml:space="preserve">  Apresentação das Demonstrações Contábeis: foram elaboradas em observância com os dispositivos legais que regulam o assunto, em especial a Lei nº 4.320/64, a Lei Complementar nº 101/2000, os Princípios de Contabilidade, as Normas Brasileiras de Con</w:t>
      </w:r>
      <w:r>
        <w:rPr>
          <w:rFonts w:ascii="Arial" w:hAnsi="Arial" w:cs="Arial"/>
        </w:rPr>
        <w:t xml:space="preserve">tabilidade Aplicadas ao Setor Público, o Manual de Contabilidade Aplicada ao Setor Público e demais disposições normativas vigentes e não havendo alteração nas políticas contábeis. </w:t>
      </w:r>
    </w:p>
    <w:p w14:paraId="201867E7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 xml:space="preserve">Nota 3: </w:t>
      </w:r>
      <w:r>
        <w:rPr>
          <w:rFonts w:ascii="Arial" w:hAnsi="Arial" w:cs="Arial"/>
        </w:rPr>
        <w:t xml:space="preserve"> Demonstração dos Fluxos de Caixa: Elaborado de acordo com a IPC08</w:t>
      </w:r>
      <w:r>
        <w:rPr>
          <w:rFonts w:ascii="Arial" w:hAnsi="Arial" w:cs="Arial"/>
        </w:rPr>
        <w:t xml:space="preserve"> a DFC foi elaborada pelo método direto e evidenciam as alterações de caixa verificadas no exercício de referência, classificadas nos seguintes fluxos de acordo com as atividades da entidade: operacionais, de investimento e de financiamento. A soma dos trê</w:t>
      </w:r>
      <w:r>
        <w:rPr>
          <w:rFonts w:ascii="Arial" w:hAnsi="Arial" w:cs="Arial"/>
        </w:rPr>
        <w:t>s fluxos deverá corresponder à diferença entre os saldos iniciais e finais de Caixa e Equivalentes de Caixa do exercício referência. Das atividades operacionais compreendem todos os ingressos e desembolso relacionados para a realização da função legislativ</w:t>
      </w:r>
      <w:r>
        <w:rPr>
          <w:rFonts w:ascii="Arial" w:hAnsi="Arial" w:cs="Arial"/>
        </w:rPr>
        <w:t>a. Totalizando um fluxo negativo de R$233.056,02. Dos investimentos, consideram-se desembolsos para aquisição de ativos não circulante, que se referem a aquisição de bens e benfeitorias realizadas no Prédio e Instalações totalizando um fluxo negativo de R$</w:t>
      </w:r>
      <w:r>
        <w:rPr>
          <w:rFonts w:ascii="Arial" w:hAnsi="Arial" w:cs="Arial"/>
        </w:rPr>
        <w:t>105.997,23. A Câmara Municipal não tem atividades de financiamentos. Considerando o somatório da atividade operacional e investimentos a Geração liquida de Fluxo de Caixa foi negativa no valor de R$339.053,25, acrescido do saldo de Caixa de 2024 que era de</w:t>
      </w:r>
      <w:r>
        <w:rPr>
          <w:rFonts w:ascii="Arial" w:hAnsi="Arial" w:cs="Arial"/>
        </w:rPr>
        <w:t xml:space="preserve"> R$381.790,69 perfazendo o Saldo positivo de R$42.737,44.</w:t>
      </w:r>
    </w:p>
    <w:p w14:paraId="6356BBA5" w14:textId="77777777" w:rsidR="007A5768" w:rsidRDefault="007A5768">
      <w:pPr>
        <w:jc w:val="both"/>
        <w:rPr>
          <w:rFonts w:ascii="Arial" w:hAnsi="Arial" w:cs="Arial"/>
        </w:rPr>
      </w:pPr>
    </w:p>
    <w:p w14:paraId="116981A9" w14:textId="77777777" w:rsidR="007A5768" w:rsidRDefault="00FF266D">
      <w:pPr>
        <w:jc w:val="center"/>
        <w:rPr>
          <w:rFonts w:ascii="Arial" w:hAnsi="Arial" w:cs="Arial"/>
          <w:b/>
          <w:bCs/>
        </w:rPr>
      </w:pPr>
      <w:r>
        <w:br w:type="page"/>
      </w:r>
    </w:p>
    <w:p w14:paraId="179FE645" w14:textId="77777777" w:rsidR="007A5768" w:rsidRDefault="00FF266D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BALANÇO PATRIMONIAL</w:t>
      </w:r>
    </w:p>
    <w:p w14:paraId="6C51AF8B" w14:textId="77777777" w:rsidR="007A5768" w:rsidRDefault="007A5768">
      <w:pPr>
        <w:jc w:val="center"/>
        <w:rPr>
          <w:rFonts w:ascii="Arial" w:hAnsi="Arial" w:cs="Arial"/>
          <w:b/>
          <w:bCs/>
        </w:rPr>
      </w:pPr>
    </w:p>
    <w:p w14:paraId="14C85678" w14:textId="77777777" w:rsidR="007A5768" w:rsidRDefault="00FF266D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NOTAS EXPLICATIVAS:</w:t>
      </w:r>
    </w:p>
    <w:p w14:paraId="64A9ED84" w14:textId="77777777" w:rsidR="007A5768" w:rsidRDefault="007A5768">
      <w:pPr>
        <w:jc w:val="center"/>
        <w:rPr>
          <w:rFonts w:ascii="Arial" w:hAnsi="Arial" w:cs="Arial"/>
          <w:b/>
          <w:bCs/>
        </w:rPr>
      </w:pPr>
    </w:p>
    <w:p w14:paraId="6609DC6F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1:</w:t>
      </w:r>
      <w:r>
        <w:rPr>
          <w:rFonts w:ascii="Arial" w:hAnsi="Arial" w:cs="Arial"/>
        </w:rPr>
        <w:t xml:space="preserve"> Contexto Operacional:  o Poder Legislativo do Município de Sarandi/RS   pessoa jurídica de direito público, órgão da Administração direta municip</w:t>
      </w:r>
      <w:r>
        <w:rPr>
          <w:rFonts w:ascii="Arial" w:hAnsi="Arial" w:cs="Arial"/>
        </w:rPr>
        <w:t xml:space="preserve">al, inscrito no CNPJ sob nº 90.161.779/0001-10. </w:t>
      </w:r>
    </w:p>
    <w:p w14:paraId="235A755A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2</w:t>
      </w:r>
      <w:r>
        <w:rPr>
          <w:rFonts w:ascii="Arial" w:hAnsi="Arial" w:cs="Arial"/>
        </w:rPr>
        <w:t xml:space="preserve"> – Apresentação das Demonstrações Contábeis: As demonstrações contábeis foram elaboradas conforme a Lei nº 4.320/64, Lei Complementar nº 101/2000, Princípios de Contabilidade, NBCASP, MCASP e demais no</w:t>
      </w:r>
      <w:r>
        <w:rPr>
          <w:rFonts w:ascii="Arial" w:hAnsi="Arial" w:cs="Arial"/>
        </w:rPr>
        <w:t xml:space="preserve">rmas vigentes, sem alterações nas políticas contábeis. </w:t>
      </w:r>
    </w:p>
    <w:p w14:paraId="6054CE2B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3</w:t>
      </w:r>
      <w:r>
        <w:rPr>
          <w:rFonts w:ascii="Arial" w:hAnsi="Arial" w:cs="Arial"/>
        </w:rPr>
        <w:t xml:space="preserve"> – Mensuração dos Componentes Patrimoniais: Os registros contábeis têm como base o custo histórico das transações.</w:t>
      </w:r>
    </w:p>
    <w:p w14:paraId="3076249C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4</w:t>
      </w:r>
      <w:r>
        <w:rPr>
          <w:rFonts w:ascii="Arial" w:hAnsi="Arial" w:cs="Arial"/>
        </w:rPr>
        <w:t xml:space="preserve"> – Regime Contábil: Adotou-se o regime misto, sendo caixa para receitas e</w:t>
      </w:r>
      <w:r>
        <w:rPr>
          <w:rFonts w:ascii="Arial" w:hAnsi="Arial" w:cs="Arial"/>
        </w:rPr>
        <w:t xml:space="preserve"> competência para despesas. </w:t>
      </w:r>
    </w:p>
    <w:p w14:paraId="3F67381C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5</w:t>
      </w:r>
      <w:r>
        <w:rPr>
          <w:rFonts w:ascii="Arial" w:hAnsi="Arial" w:cs="Arial"/>
        </w:rPr>
        <w:t xml:space="preserve"> – Ativo Circulante: Compreende caixa e equivalentes de caixa, estoques e variações patrimoniais diminutivas pagas antecipadamente. </w:t>
      </w:r>
    </w:p>
    <w:p w14:paraId="75E04FED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6</w:t>
      </w:r>
      <w:r>
        <w:rPr>
          <w:rFonts w:ascii="Arial" w:hAnsi="Arial" w:cs="Arial"/>
        </w:rPr>
        <w:t xml:space="preserve"> – Caixa e Equivalentes de Caixa: Totalizaram R$ 42.737,44 em 2025, referentes a r</w:t>
      </w:r>
      <w:r>
        <w:rPr>
          <w:rFonts w:ascii="Arial" w:hAnsi="Arial" w:cs="Arial"/>
        </w:rPr>
        <w:t xml:space="preserve">estos a pagar não processados e depósitos de terceiros. A Câmara não opera recursos em caixa físico, realizando movimentações bancárias no Banrisul. </w:t>
      </w:r>
    </w:p>
    <w:p w14:paraId="39673B6C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7</w:t>
      </w:r>
      <w:r>
        <w:rPr>
          <w:rFonts w:ascii="Arial" w:hAnsi="Arial" w:cs="Arial"/>
        </w:rPr>
        <w:t xml:space="preserve"> – Estoques: Os estoques registrados na conta contábil 1.1.5.6.1.00.00.00.00.00, mensurados pelo pre</w:t>
      </w:r>
      <w:r>
        <w:rPr>
          <w:rFonts w:ascii="Arial" w:hAnsi="Arial" w:cs="Arial"/>
        </w:rPr>
        <w:t xml:space="preserve">ço médio ponderado, totalizaram R$21.457,51 em 31/12/2025, após inventário, estando alocados no almoxarifado. </w:t>
      </w:r>
    </w:p>
    <w:p w14:paraId="485F6FAE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8</w:t>
      </w:r>
      <w:r>
        <w:rPr>
          <w:rFonts w:ascii="Arial" w:hAnsi="Arial" w:cs="Arial"/>
        </w:rPr>
        <w:t xml:space="preserve"> – Ativo Não Circulante: Compreende o ativo imobilizado e o ativo intangível. Em 2025, o saldo contábil dos bens móveis foi de R$ 470.029,9</w:t>
      </w:r>
      <w:r>
        <w:rPr>
          <w:rFonts w:ascii="Arial" w:hAnsi="Arial" w:cs="Arial"/>
        </w:rPr>
        <w:t>4, com depreciação acumulada de R$ 214.347,74, resultando em saldo líquido de R$ 255.682,20.</w:t>
      </w:r>
    </w:p>
    <w:p w14:paraId="104C5110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09</w:t>
      </w:r>
      <w:r>
        <w:rPr>
          <w:rFonts w:ascii="Arial" w:hAnsi="Arial" w:cs="Arial"/>
        </w:rPr>
        <w:t xml:space="preserve"> – Imobilizado – Bens Imóveis: Página 1 de 1 Exercício de: 2025 Exercício Atual Exercício Anterior A Câmara utiliza, desde 1997, o Edifício Legislativo NAUN GROSSI, O valor registrado em 2025 é de R$ 1.112.686,12.</w:t>
      </w:r>
    </w:p>
    <w:p w14:paraId="5ACE8709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10</w:t>
      </w:r>
      <w:r>
        <w:rPr>
          <w:rFonts w:ascii="Arial" w:hAnsi="Arial" w:cs="Arial"/>
        </w:rPr>
        <w:t xml:space="preserve"> – Passivo Circulante: Compreende o</w:t>
      </w:r>
      <w:r>
        <w:rPr>
          <w:rFonts w:ascii="Arial" w:hAnsi="Arial" w:cs="Arial"/>
        </w:rPr>
        <w:t xml:space="preserve">brigações trabalhistas e provisões de férias, somam R$ 258.765,95, acrescidas de depósitos a repassar (Devolução de Duodécimo) de R$ 42.737,44, totalizando R$ 301,503,39, com base em dezembro de 2025. </w:t>
      </w:r>
    </w:p>
    <w:p w14:paraId="401F5543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13</w:t>
      </w:r>
      <w:r>
        <w:rPr>
          <w:rFonts w:ascii="Arial" w:hAnsi="Arial" w:cs="Arial"/>
        </w:rPr>
        <w:t xml:space="preserve"> – Passivo Não Circulante: A Câmara Municipal n</w:t>
      </w:r>
      <w:r>
        <w:rPr>
          <w:rFonts w:ascii="Arial" w:hAnsi="Arial" w:cs="Arial"/>
        </w:rPr>
        <w:t xml:space="preserve">ão possui obrigações de longo prazo. </w:t>
      </w:r>
    </w:p>
    <w:p w14:paraId="0D16C1E3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14</w:t>
      </w:r>
      <w:r>
        <w:rPr>
          <w:rFonts w:ascii="Arial" w:hAnsi="Arial" w:cs="Arial"/>
        </w:rPr>
        <w:t xml:space="preserve"> – Patrimônio Líquido: Registrado como Resultados Acumulados, totalizou R$ 1.131.059,88 em 2025. </w:t>
      </w:r>
    </w:p>
    <w:p w14:paraId="3D18CD13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15</w:t>
      </w:r>
      <w:r>
        <w:rPr>
          <w:rFonts w:ascii="Arial" w:hAnsi="Arial" w:cs="Arial"/>
        </w:rPr>
        <w:t xml:space="preserve"> – Ativos e Passivos Financeiros: O valor de R$ 1.432.563,27 corresponde ao ativo </w:t>
      </w:r>
      <w:r>
        <w:rPr>
          <w:rFonts w:ascii="Arial" w:hAnsi="Arial" w:cs="Arial"/>
        </w:rPr>
        <w:lastRenderedPageBreak/>
        <w:t xml:space="preserve">financeiro e ao passivo </w:t>
      </w:r>
      <w:r>
        <w:rPr>
          <w:rFonts w:ascii="Arial" w:hAnsi="Arial" w:cs="Arial"/>
        </w:rPr>
        <w:t xml:space="preserve">financeiro e refere-se aos restos a pagar não processados, a serem liquidados em 2026. </w:t>
      </w:r>
    </w:p>
    <w:p w14:paraId="7B8020CC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16</w:t>
      </w:r>
      <w:r>
        <w:rPr>
          <w:rFonts w:ascii="Arial" w:hAnsi="Arial" w:cs="Arial"/>
        </w:rPr>
        <w:t xml:space="preserve"> – Contas de Atos Potenciais: Em 31/12/2025, o montante registrado foi de R$221.563,99, referente a contratos vigentes com impacto no orçamento de 2026.</w:t>
      </w:r>
    </w:p>
    <w:p w14:paraId="7D773C93" w14:textId="77777777" w:rsidR="007A5768" w:rsidRDefault="007A5768">
      <w:pPr>
        <w:jc w:val="both"/>
        <w:rPr>
          <w:rFonts w:ascii="Arial" w:hAnsi="Arial" w:cs="Arial"/>
        </w:rPr>
      </w:pPr>
    </w:p>
    <w:p w14:paraId="625BC704" w14:textId="77777777" w:rsidR="007A5768" w:rsidRDefault="007A5768">
      <w:pPr>
        <w:jc w:val="both"/>
        <w:rPr>
          <w:rFonts w:ascii="Arial" w:hAnsi="Arial" w:cs="Arial"/>
        </w:rPr>
      </w:pPr>
    </w:p>
    <w:p w14:paraId="75EEC8C7" w14:textId="77777777" w:rsidR="007A5768" w:rsidRDefault="007A5768">
      <w:pPr>
        <w:jc w:val="both"/>
        <w:rPr>
          <w:rFonts w:ascii="Arial" w:hAnsi="Arial" w:cs="Arial"/>
        </w:rPr>
      </w:pPr>
    </w:p>
    <w:p w14:paraId="649982CF" w14:textId="77777777" w:rsidR="007A5768" w:rsidRDefault="00FF266D">
      <w:pPr>
        <w:jc w:val="center"/>
        <w:rPr>
          <w:rFonts w:ascii="Arial" w:hAnsi="Arial" w:cs="Arial"/>
          <w:b/>
          <w:bCs/>
        </w:rPr>
      </w:pPr>
      <w:r>
        <w:br w:type="page"/>
      </w:r>
    </w:p>
    <w:p w14:paraId="703C3D9A" w14:textId="77777777" w:rsidR="007A5768" w:rsidRDefault="00FF266D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BALANÇO ORÇAMENTÁRIO - Anexo 12 da Lei nº 4.320/64</w:t>
      </w:r>
    </w:p>
    <w:p w14:paraId="52142731" w14:textId="77777777" w:rsidR="007A5768" w:rsidRDefault="007A5768">
      <w:pPr>
        <w:jc w:val="center"/>
        <w:rPr>
          <w:rFonts w:ascii="Arial" w:hAnsi="Arial" w:cs="Arial"/>
          <w:b/>
          <w:bCs/>
        </w:rPr>
      </w:pPr>
    </w:p>
    <w:p w14:paraId="6A307284" w14:textId="77777777" w:rsidR="007A5768" w:rsidRDefault="00FF266D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NOTAS EXPLICATIVAS:</w:t>
      </w:r>
    </w:p>
    <w:p w14:paraId="5FA62B7C" w14:textId="77777777" w:rsidR="007A5768" w:rsidRDefault="007A5768">
      <w:pPr>
        <w:jc w:val="center"/>
        <w:rPr>
          <w:rFonts w:ascii="Arial" w:hAnsi="Arial" w:cs="Arial"/>
          <w:b/>
          <w:bCs/>
        </w:rPr>
      </w:pPr>
    </w:p>
    <w:p w14:paraId="04DF25B8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1:</w:t>
      </w:r>
      <w:r>
        <w:rPr>
          <w:rFonts w:ascii="Arial" w:hAnsi="Arial" w:cs="Arial"/>
        </w:rPr>
        <w:t xml:space="preserve"> Contexto Operacional:  o Poder Legislativo do Município de Sarandi/RS   pessoa jurídica de direito público, órgão da Administração direta municipal, inscrito no CNPJ sob nº 90</w:t>
      </w:r>
      <w:r>
        <w:rPr>
          <w:rFonts w:ascii="Arial" w:hAnsi="Arial" w:cs="Arial"/>
        </w:rPr>
        <w:t xml:space="preserve">.161.779/0001-10. </w:t>
      </w:r>
    </w:p>
    <w:p w14:paraId="7FB6A602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 xml:space="preserve">Nota 2 </w:t>
      </w:r>
      <w:r>
        <w:rPr>
          <w:rFonts w:ascii="Arial" w:hAnsi="Arial" w:cs="Arial"/>
        </w:rPr>
        <w:t>Apresentação das Demonstrações Contábeis As demonstrações contábeis foram elaboradas em conformidade com as disposições legais e normativas vigentes, especialmente a Lei número 4.320, de 17 de março de 1964, a Lei Complementar núm</w:t>
      </w:r>
      <w:r>
        <w:rPr>
          <w:rFonts w:ascii="Arial" w:hAnsi="Arial" w:cs="Arial"/>
        </w:rPr>
        <w:t>ero 101, de 4 de maio de 2000, os Princípios de Contabilidade, as Normas Brasileiras de Contabilidade Aplicadas ao Setor Público, o Manual de Contabilidade Aplicada ao Setor Público e demais normas pertinentes, não tendo ocorrido alterações nas políticas c</w:t>
      </w:r>
      <w:r>
        <w:rPr>
          <w:rFonts w:ascii="Arial" w:hAnsi="Arial" w:cs="Arial"/>
        </w:rPr>
        <w:t xml:space="preserve">ontábeis adotadas no exercício. </w:t>
      </w:r>
    </w:p>
    <w:p w14:paraId="1D0B9456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3</w:t>
      </w:r>
      <w:r>
        <w:rPr>
          <w:rFonts w:ascii="Arial" w:hAnsi="Arial" w:cs="Arial"/>
        </w:rPr>
        <w:t xml:space="preserve"> Critério de Apropriação das Receitas e Despesas As despesas foram reconhecidas quando legalmente empenhadas e as receitas quando efetivamente arrecadadas, em conformidade com o disposto no artigo 35 da Lei Federal nú</w:t>
      </w:r>
      <w:r>
        <w:rPr>
          <w:rFonts w:ascii="Arial" w:hAnsi="Arial" w:cs="Arial"/>
        </w:rPr>
        <w:t xml:space="preserve">mero 4.320, de 1964. </w:t>
      </w:r>
    </w:p>
    <w:p w14:paraId="60467996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 xml:space="preserve">Nota 4- </w:t>
      </w:r>
      <w:r>
        <w:rPr>
          <w:rFonts w:ascii="Arial" w:hAnsi="Arial" w:cs="Arial"/>
        </w:rPr>
        <w:t>Restos a Pagar Em observância ao disposto nos artigos 35 e 36 da Lei número 4.320, de 1964, as despesas empenhadas e não pagas até o encerramento do exercício de 2025 foram inscritas em Restos a Pagar. No encerramento do exerc</w:t>
      </w:r>
      <w:r>
        <w:rPr>
          <w:rFonts w:ascii="Arial" w:hAnsi="Arial" w:cs="Arial"/>
        </w:rPr>
        <w:t xml:space="preserve">ício não houve Restos a Pagar Processados nem tampouco em restos a pagar não processados. </w:t>
      </w:r>
    </w:p>
    <w:p w14:paraId="0AB3613D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5</w:t>
      </w:r>
      <w:r>
        <w:rPr>
          <w:rFonts w:ascii="Arial" w:hAnsi="Arial" w:cs="Arial"/>
        </w:rPr>
        <w:t xml:space="preserve"> Resultado Orçamentário ESTADO DO RIO GRANDE DO SUL CAMARA MUNICIPAL DE SARANDI BALANÇO ORÇAMENTÁRIO - Anexo 12 da Lei nº 4.320/64 PERÍODO DE DEZEMBRO/2025 DOT</w:t>
      </w:r>
      <w:r>
        <w:rPr>
          <w:rFonts w:ascii="Arial" w:hAnsi="Arial" w:cs="Arial"/>
        </w:rPr>
        <w:t>AÇÃO INICIAL (e) DOTAÇÃO ATUALIZADA (f) DESPESAS EMPENHADAS (g) Página 1 de 1 Exercício de: 2025 DESPESAS PAGAS DESPESAS LIQUIDADAS (h) (i) SALDO DA DOTAÇÃO (j) = (f - g) O orçamento para o exercício de 2025 foi fixado em R$ 6.544.760,00, conforme Lei Muni</w:t>
      </w:r>
      <w:r>
        <w:rPr>
          <w:rFonts w:ascii="Arial" w:hAnsi="Arial" w:cs="Arial"/>
        </w:rPr>
        <w:t>cipal número 5.797, de 31 de dezembro de 2024. A execução orçamentária alcançou o montante de R$ 5.529.022,56, resultando em superávit orçamentário no valor de R$ 1.015.737,44</w:t>
      </w:r>
    </w:p>
    <w:p w14:paraId="1EA60A4C" w14:textId="77777777" w:rsidR="007A5768" w:rsidRDefault="007A5768">
      <w:pPr>
        <w:jc w:val="both"/>
        <w:rPr>
          <w:rFonts w:ascii="Arial" w:hAnsi="Arial" w:cs="Arial"/>
        </w:rPr>
      </w:pPr>
    </w:p>
    <w:p w14:paraId="62E5D4BB" w14:textId="77777777" w:rsidR="007A5768" w:rsidRDefault="007A5768">
      <w:pPr>
        <w:jc w:val="both"/>
        <w:rPr>
          <w:rFonts w:ascii="Arial" w:hAnsi="Arial" w:cs="Arial"/>
        </w:rPr>
      </w:pPr>
    </w:p>
    <w:p w14:paraId="261F02F2" w14:textId="77777777" w:rsidR="007A5768" w:rsidRDefault="007A5768">
      <w:pPr>
        <w:jc w:val="both"/>
        <w:rPr>
          <w:rFonts w:ascii="Arial" w:hAnsi="Arial" w:cs="Arial"/>
        </w:rPr>
      </w:pPr>
    </w:p>
    <w:p w14:paraId="0EC0BECE" w14:textId="77777777" w:rsidR="007A5768" w:rsidRDefault="007A5768">
      <w:pPr>
        <w:jc w:val="both"/>
        <w:rPr>
          <w:rFonts w:ascii="Arial" w:hAnsi="Arial" w:cs="Arial"/>
        </w:rPr>
      </w:pPr>
    </w:p>
    <w:p w14:paraId="1364A3DB" w14:textId="77777777" w:rsidR="007A5768" w:rsidRDefault="00FF266D">
      <w:pPr>
        <w:jc w:val="center"/>
        <w:rPr>
          <w:rFonts w:ascii="Arial" w:hAnsi="Arial" w:cs="Arial"/>
          <w:b/>
          <w:bCs/>
        </w:rPr>
      </w:pPr>
      <w:r>
        <w:br w:type="page"/>
      </w:r>
    </w:p>
    <w:p w14:paraId="16EEB2D2" w14:textId="77777777" w:rsidR="007A5768" w:rsidRDefault="00FF266D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BALANÇO FINANCEIRO - Anexo 13 da Lei nº 4.320/64</w:t>
      </w:r>
    </w:p>
    <w:p w14:paraId="5E4EE6D9" w14:textId="77777777" w:rsidR="007A5768" w:rsidRDefault="007A5768">
      <w:pPr>
        <w:jc w:val="center"/>
        <w:rPr>
          <w:rFonts w:ascii="Arial" w:hAnsi="Arial" w:cs="Arial"/>
          <w:b/>
          <w:bCs/>
        </w:rPr>
      </w:pPr>
    </w:p>
    <w:p w14:paraId="13FAF464" w14:textId="77777777" w:rsidR="007A5768" w:rsidRDefault="00FF266D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NOTAS EXPLICATIVAS:</w:t>
      </w:r>
    </w:p>
    <w:p w14:paraId="1D7E66D7" w14:textId="77777777" w:rsidR="007A5768" w:rsidRDefault="007A5768">
      <w:pPr>
        <w:jc w:val="center"/>
        <w:rPr>
          <w:rFonts w:ascii="Arial" w:hAnsi="Arial" w:cs="Arial"/>
          <w:b/>
          <w:bCs/>
        </w:rPr>
      </w:pPr>
    </w:p>
    <w:p w14:paraId="153BF6A9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1:</w:t>
      </w:r>
      <w:r>
        <w:rPr>
          <w:rFonts w:ascii="Arial" w:hAnsi="Arial" w:cs="Arial"/>
        </w:rPr>
        <w:t xml:space="preserve"> Contexto Operacional:  o Poder Legislativo do Município de Sarandi/RS   pessoa jurídica de direito público, órgão da Administração direta municipal, inscrito no CNPJ sob nº 90.161.779/0001-10. </w:t>
      </w:r>
    </w:p>
    <w:p w14:paraId="38727FD8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2</w:t>
      </w:r>
      <w:r>
        <w:rPr>
          <w:rFonts w:ascii="Arial" w:hAnsi="Arial" w:cs="Arial"/>
        </w:rPr>
        <w:t xml:space="preserve"> Apresentação das Demonstrações Contábeis As dem</w:t>
      </w:r>
      <w:r>
        <w:rPr>
          <w:rFonts w:ascii="Arial" w:hAnsi="Arial" w:cs="Arial"/>
        </w:rPr>
        <w:t>onstrações contábeis foram elaboradas em observância aos dispositivos legais que regulam a matéria, em especial a Lei número 4.320, de 1964, a Lei Complementar número 101, de 2000, os Princípios de Contabilidade, as Normas Brasileiras de Contabilidade Apli</w:t>
      </w:r>
      <w:r>
        <w:rPr>
          <w:rFonts w:ascii="Arial" w:hAnsi="Arial" w:cs="Arial"/>
        </w:rPr>
        <w:t xml:space="preserve">cadas ao Setor Público, o Manual de Contabilidade Aplicada ao Setor Público e demais disposições normativas vigentes, não havendo alterações nas políticas contábeis adotadas no exercício. </w:t>
      </w:r>
    </w:p>
    <w:p w14:paraId="1B9F6221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3</w:t>
      </w:r>
      <w:r>
        <w:rPr>
          <w:rFonts w:ascii="Arial" w:hAnsi="Arial" w:cs="Arial"/>
        </w:rPr>
        <w:t xml:space="preserve"> Evidenciações O Balanço Financeiro evidencia as receitas e d</w:t>
      </w:r>
      <w:r>
        <w:rPr>
          <w:rFonts w:ascii="Arial" w:hAnsi="Arial" w:cs="Arial"/>
        </w:rPr>
        <w:t xml:space="preserve">espesas orçamentárias, bem como os ingressos e dispêndios extraorçamentários, conjugados com os saldos de caixa oriundos do exercício anterior e aqueles que se transferem para o exercício seguinte. </w:t>
      </w:r>
    </w:p>
    <w:p w14:paraId="4C844B9A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4</w:t>
      </w:r>
      <w:r>
        <w:rPr>
          <w:rFonts w:ascii="Arial" w:hAnsi="Arial" w:cs="Arial"/>
        </w:rPr>
        <w:t xml:space="preserve"> Movimentação Financeira O saldo inicial de caixa n</w:t>
      </w:r>
      <w:r>
        <w:rPr>
          <w:rFonts w:ascii="Arial" w:hAnsi="Arial" w:cs="Arial"/>
        </w:rPr>
        <w:t>o exercício de 2025 foi de R$ 381.790,69. No decorrer do exercício, foram recebidos R$ 5.189.969,31 a título de transferências para execução orçamentária. A execução orçamentária totalizou R$ 5.529.022,56, correspondente a despesas empenhadas no exercício.</w:t>
      </w:r>
      <w:r>
        <w:rPr>
          <w:rFonts w:ascii="Arial" w:hAnsi="Arial" w:cs="Arial"/>
        </w:rPr>
        <w:t xml:space="preserve"> Não houve Restos a Pagar no final do exercício. O saldo de caixa ao final do exercício de 2025 permaneceu em R$ 42.737,44, em consonância com o demonstrado no Balanço Financeiro. </w:t>
      </w:r>
    </w:p>
    <w:p w14:paraId="0A5534F5" w14:textId="77777777" w:rsidR="007A5768" w:rsidRDefault="00FF266D">
      <w:pPr>
        <w:spacing w:line="360" w:lineRule="auto"/>
        <w:jc w:val="both"/>
      </w:pPr>
      <w:r>
        <w:rPr>
          <w:rFonts w:ascii="Arial" w:hAnsi="Arial" w:cs="Arial"/>
          <w:b/>
          <w:bCs/>
        </w:rPr>
        <w:t>Nota 5</w:t>
      </w:r>
      <w:r>
        <w:rPr>
          <w:rFonts w:ascii="Arial" w:hAnsi="Arial" w:cs="Arial"/>
        </w:rPr>
        <w:t xml:space="preserve"> Movimentação Extraorçamentária Foram movimentados, a título extraorç</w:t>
      </w:r>
      <w:r>
        <w:rPr>
          <w:rFonts w:ascii="Arial" w:hAnsi="Arial" w:cs="Arial"/>
        </w:rPr>
        <w:t>amentário, R$ 915.928,59, referentes a recursos de terceiros, depósitos e valores restituíveis, compreendendo contribuições ao INSS de servidores e fornecedores, Imposto de Renda Retido na Fonte sobre rendimentos de servidores, impostos a repassar, consign</w:t>
      </w:r>
      <w:r>
        <w:rPr>
          <w:rFonts w:ascii="Arial" w:hAnsi="Arial" w:cs="Arial"/>
        </w:rPr>
        <w:t>ações e demais depósitos diversos.</w:t>
      </w:r>
    </w:p>
    <w:p w14:paraId="01DD3E99" w14:textId="77777777" w:rsidR="007A5768" w:rsidRDefault="007A5768">
      <w:pPr>
        <w:jc w:val="both"/>
        <w:rPr>
          <w:rFonts w:ascii="Arial" w:hAnsi="Arial" w:cs="Arial"/>
        </w:rPr>
      </w:pPr>
    </w:p>
    <w:p w14:paraId="1FB731C6" w14:textId="77777777" w:rsidR="007A5768" w:rsidRDefault="00FF266D">
      <w:pPr>
        <w:jc w:val="right"/>
      </w:pPr>
      <w:r>
        <w:rPr>
          <w:rFonts w:ascii="Arial" w:hAnsi="Arial" w:cs="Arial"/>
        </w:rPr>
        <w:t>Sarandi/RS, 31 de dezembro de 2025</w:t>
      </w:r>
    </w:p>
    <w:p w14:paraId="51FD49A1" w14:textId="77777777" w:rsidR="007A5768" w:rsidRDefault="007A5768">
      <w:pPr>
        <w:jc w:val="both"/>
        <w:rPr>
          <w:rFonts w:ascii="Arial" w:hAnsi="Arial" w:cs="Arial"/>
        </w:rPr>
      </w:pPr>
    </w:p>
    <w:p w14:paraId="7CFE8804" w14:textId="77777777" w:rsidR="007A5768" w:rsidRDefault="007A5768">
      <w:pPr>
        <w:jc w:val="both"/>
        <w:rPr>
          <w:rFonts w:ascii="Arial" w:hAnsi="Arial" w:cs="Arial"/>
        </w:rPr>
      </w:pPr>
    </w:p>
    <w:p w14:paraId="4BB4FC2F" w14:textId="77777777" w:rsidR="007A5768" w:rsidRDefault="00FF266D">
      <w:pPr>
        <w:jc w:val="center"/>
      </w:pPr>
      <w:r>
        <w:rPr>
          <w:rFonts w:ascii="Arial" w:hAnsi="Arial" w:cs="Arial"/>
        </w:rPr>
        <w:t>_________________________</w:t>
      </w:r>
    </w:p>
    <w:p w14:paraId="793B854A" w14:textId="77777777" w:rsidR="007A5768" w:rsidRDefault="00FF266D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Rubens da Silva Martins</w:t>
      </w:r>
    </w:p>
    <w:p w14:paraId="7B756F80" w14:textId="77777777" w:rsidR="007A5768" w:rsidRDefault="00FF266D">
      <w:pPr>
        <w:jc w:val="center"/>
      </w:pPr>
      <w:r>
        <w:rPr>
          <w:rFonts w:ascii="Arial" w:hAnsi="Arial" w:cs="Arial"/>
        </w:rPr>
        <w:t>Contador CRC/RS 57.073</w:t>
      </w:r>
    </w:p>
    <w:p w14:paraId="63437902" w14:textId="77777777" w:rsidR="007A5768" w:rsidRDefault="00FF266D">
      <w:pPr>
        <w:jc w:val="center"/>
      </w:pPr>
      <w:r>
        <w:rPr>
          <w:rFonts w:ascii="Arial" w:hAnsi="Arial" w:cs="Arial"/>
        </w:rPr>
        <w:t>Contador da Câmara Municipal de Vereadores de Sarandi</w:t>
      </w:r>
    </w:p>
    <w:p w14:paraId="2E863724" w14:textId="77777777" w:rsidR="007A5768" w:rsidRDefault="007A5768">
      <w:pPr>
        <w:jc w:val="center"/>
        <w:rPr>
          <w:rFonts w:ascii="Arial" w:hAnsi="Arial" w:cs="Arial"/>
        </w:rPr>
      </w:pPr>
    </w:p>
    <w:p w14:paraId="6DFE2BC1" w14:textId="77777777" w:rsidR="007A5768" w:rsidRDefault="007A5768">
      <w:pPr>
        <w:jc w:val="center"/>
        <w:rPr>
          <w:rFonts w:ascii="Arial" w:hAnsi="Arial" w:cs="Arial"/>
        </w:rPr>
      </w:pPr>
    </w:p>
    <w:p w14:paraId="4AE1767C" w14:textId="77777777" w:rsidR="007A5768" w:rsidRDefault="007A5768">
      <w:pPr>
        <w:jc w:val="center"/>
        <w:rPr>
          <w:rFonts w:ascii="Arial" w:hAnsi="Arial" w:cs="Arial"/>
        </w:rPr>
      </w:pPr>
    </w:p>
    <w:p w14:paraId="468B5820" w14:textId="77777777" w:rsidR="007A5768" w:rsidRDefault="00FF266D">
      <w:pPr>
        <w:jc w:val="center"/>
      </w:pPr>
      <w:r>
        <w:rPr>
          <w:rFonts w:ascii="Arial" w:hAnsi="Arial" w:cs="Arial"/>
        </w:rPr>
        <w:t>_________________________</w:t>
      </w:r>
    </w:p>
    <w:p w14:paraId="6AC09EBC" w14:textId="7638BBA2" w:rsidR="007A5768" w:rsidRDefault="00FF266D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Airton Ortiz</w:t>
      </w:r>
    </w:p>
    <w:p w14:paraId="7A968DB3" w14:textId="77777777" w:rsidR="007A5768" w:rsidRDefault="00FF266D">
      <w:pPr>
        <w:jc w:val="center"/>
      </w:pPr>
      <w:r>
        <w:rPr>
          <w:rFonts w:ascii="Arial" w:hAnsi="Arial" w:cs="Arial"/>
        </w:rPr>
        <w:t>Pres</w:t>
      </w:r>
      <w:r>
        <w:rPr>
          <w:rFonts w:ascii="Arial" w:hAnsi="Arial" w:cs="Arial"/>
        </w:rPr>
        <w:t>idente da Câmara Municipal de Vereadores de Sarandi</w:t>
      </w:r>
    </w:p>
    <w:sectPr w:rsidR="007A5768">
      <w:headerReference w:type="default" r:id="rId6"/>
      <w:footerReference w:type="default" r:id="rId7"/>
      <w:pgSz w:w="11906" w:h="16838"/>
      <w:pgMar w:top="2140" w:right="992" w:bottom="1334" w:left="1275" w:header="192" w:footer="1134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8C5A8" w14:textId="77777777" w:rsidR="00000000" w:rsidRDefault="00FF266D">
      <w:r>
        <w:separator/>
      </w:r>
    </w:p>
  </w:endnote>
  <w:endnote w:type="continuationSeparator" w:id="0">
    <w:p w14:paraId="764E2435" w14:textId="77777777" w:rsidR="00000000" w:rsidRDefault="00FF2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FBC142" w14:textId="77777777" w:rsidR="007A5768" w:rsidRDefault="00FF266D">
    <w:pPr>
      <w:pStyle w:val="BodyText"/>
      <w:spacing w:line="2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6350" distB="5080" distL="6350" distR="6350" simplePos="0" relativeHeight="13" behindDoc="1" locked="0" layoutInCell="0" allowOverlap="1" wp14:anchorId="3B8DD57B" wp14:editId="4B43B5F6">
              <wp:simplePos x="0" y="0"/>
              <wp:positionH relativeFrom="page">
                <wp:posOffset>901700</wp:posOffset>
              </wp:positionH>
              <wp:positionV relativeFrom="page">
                <wp:posOffset>10153650</wp:posOffset>
              </wp:positionV>
              <wp:extent cx="5943600" cy="1270"/>
              <wp:effectExtent l="6350" t="6350" r="6350" b="5080"/>
              <wp:wrapNone/>
              <wp:docPr id="2" name="Graphic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1440"/>
                      </a:xfrm>
                      <a:custGeom>
                        <a:avLst/>
                        <a:gdLst>
                          <a:gd name="textAreaLeft" fmla="*/ 0 w 3369600"/>
                          <a:gd name="textAreaRight" fmla="*/ 3371400 w 3369600"/>
                          <a:gd name="textAreaTop" fmla="*/ 0 h 720"/>
                          <a:gd name="textAreaBottom" fmla="*/ 4680 h 720"/>
                        </a:gdLst>
                        <a:ahLst/>
                        <a:cxnLst/>
                        <a:rect l="textAreaLeft" t="textAreaTop" r="textAreaRight" b="textAreaBottom"/>
                        <a:pathLst>
                          <a:path w="5943600">
                            <a:moveTo>
                              <a:pt x="0" y="0"/>
                            </a:moveTo>
                            <a:lnTo>
                              <a:pt x="5943599" y="0"/>
                            </a:lnTo>
                          </a:path>
                        </a:pathLst>
                      </a:custGeom>
                      <a:noFill/>
                      <a:ln w="1270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w14:anchorId="4E89D6F9" id="Graphic 2" o:spid="_x0000_s1026" style="position:absolute;margin-left:71pt;margin-top:799.5pt;width:468pt;height:.1pt;z-index:-503316467;visibility:visible;mso-wrap-style:square;mso-wrap-distance-left:.5pt;mso-wrap-distance-top:.5pt;mso-wrap-distance-right:.5pt;mso-wrap-distance-bottom:.4pt;mso-position-horizontal:absolute;mso-position-horizontal-relative:page;mso-position-vertical:absolute;mso-position-vertical-relative:page;v-text-anchor:top" coordsize="594360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" o:allowincell="f" path="m,l5943599,e" filled="f" strokeweight="1pt">
              <v:path arrowok="t" textboxrect="0,0,5946775,9360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4" behindDoc="1" locked="0" layoutInCell="0" allowOverlap="1" wp14:anchorId="7FA875E1" wp14:editId="7CBF3EEE">
              <wp:simplePos x="0" y="0"/>
              <wp:positionH relativeFrom="page">
                <wp:posOffset>1079500</wp:posOffset>
              </wp:positionH>
              <wp:positionV relativeFrom="page">
                <wp:posOffset>10172065</wp:posOffset>
              </wp:positionV>
              <wp:extent cx="5581015" cy="335280"/>
              <wp:effectExtent l="0" t="0" r="0" b="0"/>
              <wp:wrapNone/>
              <wp:docPr id="3" name="Text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581080" cy="3351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4FDE3CF3" w14:textId="77777777" w:rsidR="007A5768" w:rsidRDefault="00FF266D">
                          <w:pPr>
                            <w:pStyle w:val="Contedodoquadro"/>
                            <w:spacing w:before="13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color w:val="000000"/>
                              <w:sz w:val="20"/>
                            </w:rPr>
                            <w:t>Avenida</w:t>
                          </w:r>
                          <w:r>
                            <w:rPr>
                              <w:color w:val="000000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Sete</w:t>
                          </w:r>
                          <w:r>
                            <w:rPr>
                              <w:color w:val="00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de</w:t>
                          </w:r>
                          <w:r>
                            <w:rPr>
                              <w:color w:val="00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Setembro,</w:t>
                          </w:r>
                          <w:r>
                            <w:rPr>
                              <w:color w:val="00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1790</w:t>
                          </w:r>
                          <w:r>
                            <w:rPr>
                              <w:color w:val="00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-</w:t>
                          </w:r>
                          <w:r>
                            <w:rPr>
                              <w:color w:val="0000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Bairro</w:t>
                          </w:r>
                          <w:r>
                            <w:rPr>
                              <w:color w:val="00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Centro</w:t>
                          </w:r>
                          <w:r>
                            <w:rPr>
                              <w:color w:val="00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-</w:t>
                          </w:r>
                          <w:r>
                            <w:rPr>
                              <w:color w:val="00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CEP</w:t>
                          </w:r>
                          <w:r>
                            <w:rPr>
                              <w:color w:val="00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99560-</w:t>
                          </w:r>
                          <w:r>
                            <w:rPr>
                              <w:color w:val="000000"/>
                              <w:spacing w:val="-5"/>
                              <w:sz w:val="20"/>
                            </w:rPr>
                            <w:t>000</w:t>
                          </w:r>
                        </w:p>
                        <w:p w14:paraId="1BD5264C" w14:textId="77777777" w:rsidR="007A5768" w:rsidRDefault="00FF266D">
                          <w:pPr>
                            <w:pStyle w:val="Contedodoquadro"/>
                            <w:spacing w:before="35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color w:val="000000"/>
                              <w:sz w:val="20"/>
                            </w:rPr>
                            <w:t>Fones:</w:t>
                          </w:r>
                          <w:r>
                            <w:rPr>
                              <w:color w:val="000000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(54)</w:t>
                          </w:r>
                          <w:r>
                            <w:rPr>
                              <w:color w:val="000000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3361-1911</w:t>
                          </w:r>
                          <w:r>
                            <w:rPr>
                              <w:color w:val="000000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/</w:t>
                          </w:r>
                          <w:r>
                            <w:rPr>
                              <w:color w:val="000000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(54)</w:t>
                          </w:r>
                          <w:r>
                            <w:rPr>
                              <w:color w:val="000000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3361-1336</w:t>
                          </w:r>
                          <w:r>
                            <w:rPr>
                              <w:color w:val="000000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|</w:t>
                          </w:r>
                          <w:r>
                            <w:rPr>
                              <w:color w:val="000000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E-mail:</w:t>
                          </w:r>
                          <w:r>
                            <w:rPr>
                              <w:color w:val="000000"/>
                              <w:spacing w:val="-7"/>
                              <w:sz w:val="20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color w:val="000000"/>
                                <w:sz w:val="20"/>
                              </w:rPr>
                              <w:t>camara@sarandi.rs.leg.br</w:t>
                            </w:r>
                          </w:hyperlink>
                          <w:r>
                            <w:rPr>
                              <w:color w:val="000000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|</w:t>
                          </w:r>
                          <w:r>
                            <w:rPr>
                              <w:color w:val="000000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Site:</w:t>
                          </w:r>
                          <w:r>
                            <w:rPr>
                              <w:color w:val="000000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-2"/>
                              <w:sz w:val="20"/>
                            </w:rPr>
                            <w:t>sarandi.rs.leg.br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FA875E1" id="Textbox 3" o:spid="_x0000_s1026" style="position:absolute;margin-left:85pt;margin-top:800.95pt;width:439.45pt;height:26.4pt;z-index:-503316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" o:allowincell="f" filled="f" stroked="f" strokeweight="0">
              <v:textbox inset="0,0,0,0">
                <w:txbxContent>
                  <w:p w14:paraId="4FDE3CF3" w14:textId="77777777" w:rsidR="007A5768" w:rsidRDefault="00FF266D">
                    <w:pPr>
                      <w:pStyle w:val="Contedodoquadro"/>
                      <w:spacing w:before="13"/>
                      <w:jc w:val="center"/>
                      <w:rPr>
                        <w:sz w:val="20"/>
                      </w:rPr>
                    </w:pPr>
                    <w:r>
                      <w:rPr>
                        <w:color w:val="000000"/>
                        <w:sz w:val="20"/>
                      </w:rPr>
                      <w:t>Avenida</w:t>
                    </w:r>
                    <w:r>
                      <w:rPr>
                        <w:color w:val="000000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Sete</w:t>
                    </w:r>
                    <w:r>
                      <w:rPr>
                        <w:color w:val="00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de</w:t>
                    </w:r>
                    <w:r>
                      <w:rPr>
                        <w:color w:val="00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Setembro,</w:t>
                    </w:r>
                    <w:r>
                      <w:rPr>
                        <w:color w:val="00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1790</w:t>
                    </w:r>
                    <w:r>
                      <w:rPr>
                        <w:color w:val="00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-</w:t>
                    </w:r>
                    <w:r>
                      <w:rPr>
                        <w:color w:val="00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Bairro</w:t>
                    </w:r>
                    <w:r>
                      <w:rPr>
                        <w:color w:val="00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Centro</w:t>
                    </w:r>
                    <w:r>
                      <w:rPr>
                        <w:color w:val="00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-</w:t>
                    </w:r>
                    <w:r>
                      <w:rPr>
                        <w:color w:val="00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CEP</w:t>
                    </w:r>
                    <w:r>
                      <w:rPr>
                        <w:color w:val="00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99560-</w:t>
                    </w:r>
                    <w:r>
                      <w:rPr>
                        <w:color w:val="000000"/>
                        <w:spacing w:val="-5"/>
                        <w:sz w:val="20"/>
                      </w:rPr>
                      <w:t>000</w:t>
                    </w:r>
                  </w:p>
                  <w:p w14:paraId="1BD5264C" w14:textId="77777777" w:rsidR="007A5768" w:rsidRDefault="00FF266D">
                    <w:pPr>
                      <w:pStyle w:val="Contedodoquadro"/>
                      <w:spacing w:before="35"/>
                      <w:jc w:val="center"/>
                      <w:rPr>
                        <w:sz w:val="20"/>
                      </w:rPr>
                    </w:pPr>
                    <w:r>
                      <w:rPr>
                        <w:color w:val="000000"/>
                        <w:sz w:val="20"/>
                      </w:rPr>
                      <w:t>Fones:</w:t>
                    </w:r>
                    <w:r>
                      <w:rPr>
                        <w:color w:val="00000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(54)</w:t>
                    </w:r>
                    <w:r>
                      <w:rPr>
                        <w:color w:val="000000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3361-1911</w:t>
                    </w:r>
                    <w:r>
                      <w:rPr>
                        <w:color w:val="000000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/</w:t>
                    </w:r>
                    <w:r>
                      <w:rPr>
                        <w:color w:val="000000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(54)</w:t>
                    </w:r>
                    <w:r>
                      <w:rPr>
                        <w:color w:val="000000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3361-1336</w:t>
                    </w:r>
                    <w:r>
                      <w:rPr>
                        <w:color w:val="000000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|</w:t>
                    </w:r>
                    <w:r>
                      <w:rPr>
                        <w:color w:val="000000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E-mail:</w:t>
                    </w:r>
                    <w:r>
                      <w:rPr>
                        <w:color w:val="000000"/>
                        <w:spacing w:val="-7"/>
                        <w:sz w:val="20"/>
                      </w:rPr>
                      <w:t xml:space="preserve"> </w:t>
                    </w:r>
                    <w:hyperlink r:id="rId2">
                      <w:r>
                        <w:rPr>
                          <w:color w:val="000000"/>
                          <w:sz w:val="20"/>
                        </w:rPr>
                        <w:t>camara@sarandi.rs.leg.br</w:t>
                      </w:r>
                    </w:hyperlink>
                    <w:r>
                      <w:rPr>
                        <w:color w:val="000000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|</w:t>
                    </w:r>
                    <w:r>
                      <w:rPr>
                        <w:color w:val="000000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Site:</w:t>
                    </w:r>
                    <w:r>
                      <w:rPr>
                        <w:color w:val="000000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pacing w:val="-2"/>
                        <w:sz w:val="20"/>
                      </w:rPr>
                      <w:t>sarandi.rs.leg.br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71272" w14:textId="77777777" w:rsidR="00000000" w:rsidRDefault="00FF266D">
      <w:r>
        <w:separator/>
      </w:r>
    </w:p>
  </w:footnote>
  <w:footnote w:type="continuationSeparator" w:id="0">
    <w:p w14:paraId="4A03CAF0" w14:textId="77777777" w:rsidR="00000000" w:rsidRDefault="00FF26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71BBA" w14:textId="77777777" w:rsidR="007A5768" w:rsidRDefault="00FF266D">
    <w:pPr>
      <w:pStyle w:val="BodyText"/>
      <w:spacing w:line="2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7" behindDoc="1" locked="0" layoutInCell="0" allowOverlap="1" wp14:anchorId="55149684" wp14:editId="11DF38AC">
          <wp:simplePos x="0" y="0"/>
          <wp:positionH relativeFrom="page">
            <wp:posOffset>192405</wp:posOffset>
          </wp:positionH>
          <wp:positionV relativeFrom="page">
            <wp:posOffset>121920</wp:posOffset>
          </wp:positionV>
          <wp:extent cx="7124700" cy="1237615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12376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visionView w:inkAnnotations="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A5768"/>
    <w:rsid w:val="007A5768"/>
    <w:rsid w:val="00FF2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B8E6A"/>
  <w15:docId w15:val="{C9A823DA-F023-44D3-9E46-3A546ACA9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rFonts w:ascii="Arial MT" w:eastAsia="Arial MT" w:hAnsi="Arial MT" w:cs="Arial MT"/>
      <w:lang w:val="pt-PT"/>
    </w:rPr>
  </w:style>
  <w:style w:type="paragraph" w:styleId="Heading1">
    <w:name w:val="heading 1"/>
    <w:basedOn w:val="Normal"/>
    <w:uiPriority w:val="9"/>
    <w:qFormat/>
    <w:pPr>
      <w:ind w:left="595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customStyle="1" w:styleId="Ttulo">
    <w:name w:val="Título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customStyle="1" w:styleId="Contedodoquadro">
    <w:name w:val="Conteúdo do quadro"/>
    <w:basedOn w:val="Normal"/>
    <w:qFormat/>
  </w:style>
  <w:style w:type="paragraph" w:customStyle="1" w:styleId="CabealhoeRodap">
    <w:name w:val="Cabeçalho e Rodapé"/>
    <w:basedOn w:val="Normal"/>
    <w:qFormat/>
  </w:style>
  <w:style w:type="paragraph" w:styleId="Header">
    <w:name w:val="header"/>
    <w:basedOn w:val="CabealhoeRodap"/>
  </w:style>
  <w:style w:type="paragraph" w:styleId="Footer">
    <w:name w:val="footer"/>
    <w:basedOn w:val="CabealhoeRodap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amara@sarandi.rs.leg.br" TargetMode="External"/><Relationship Id="rId1" Type="http://schemas.openxmlformats.org/officeDocument/2006/relationships/hyperlink" Target="mailto:camara@sarandi.rs.le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1557</Words>
  <Characters>8414</Characters>
  <Application>Microsoft Office Word</Application>
  <DocSecurity>0</DocSecurity>
  <Lines>70</Lines>
  <Paragraphs>19</Paragraphs>
  <ScaleCrop>false</ScaleCrop>
  <Company/>
  <LinksUpToDate>false</LinksUpToDate>
  <CharactersWithSpaces>9952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Andrei Reginatto</cp:lastModifiedBy>
  <cp:revision>5</cp:revision>
  <dcterms:created xsi:type="dcterms:W3CDTF">2025-01-03T14:30:00Z</dcterms:created>
  <dcterms:modified xsi:type="dcterms:W3CDTF">2026-06-22T16:52:00Z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2024-11-21T00:00:00Z</vt:filetime>
  </property>
  <property fmtid="{D5CDD505-2E9C-101B-9397-08002B2CF9AE}" pid="3" name="LastSaved">
    <vt:filetime>2025-01-03T00:00:00Z</vt:filetime>
  </property>
  <property fmtid="{D5CDD505-2E9C-101B-9397-08002B2CF9AE}" pid="4" name="Producer">
    <vt:lpwstr>iText® 5.5.13.1 ©2000-2019 iText Group NV (AGPL-version)</vt:lpwstr>
  </property>
</Properties>
</file>