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0C7E5A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F11B36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C4BE14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9B228F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E90CF9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F11B36">
        <w:rPr>
          <w:rFonts w:eastAsia="Times New Roman"/>
          <w:sz w:val="24"/>
          <w:szCs w:val="24"/>
        </w:rPr>
        <w:t>Altera a redação do artigo 2º da Lei 2.397/2023 de 08 de fevereiro de 2023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5DFC0AB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a</w:t>
      </w:r>
      <w:r w:rsidR="00F11B36">
        <w:rPr>
          <w:rFonts w:eastAsia="Times New Roman"/>
          <w:sz w:val="24"/>
          <w:szCs w:val="24"/>
        </w:rPr>
        <w:t>ltera</w:t>
      </w:r>
      <w:r w:rsidR="00F11B36">
        <w:rPr>
          <w:rFonts w:eastAsia="Times New Roman"/>
          <w:sz w:val="24"/>
          <w:szCs w:val="24"/>
        </w:rPr>
        <w:t>r</w:t>
      </w:r>
      <w:r w:rsidR="00F11B36">
        <w:rPr>
          <w:rFonts w:eastAsia="Times New Roman"/>
          <w:sz w:val="24"/>
          <w:szCs w:val="24"/>
        </w:rPr>
        <w:t xml:space="preserve"> a redação do artigo 2º da Lei 2.397/2023 de 08 de fevereiro de 2023</w:t>
      </w:r>
      <w:r w:rsidR="00F11B36">
        <w:rPr>
          <w:rFonts w:eastAsia="Times New Roman"/>
          <w:sz w:val="24"/>
          <w:szCs w:val="24"/>
        </w:rPr>
        <w:t xml:space="preserve">. 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B06F94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47445">
        <w:rPr>
          <w:rFonts w:eastAsia="Times New Roman"/>
          <w:sz w:val="24"/>
          <w:szCs w:val="24"/>
        </w:rPr>
        <w:t>0</w:t>
      </w:r>
      <w:r w:rsidR="001A66B1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35</cp:revision>
  <cp:lastPrinted>2023-08-07T11:16:00Z</cp:lastPrinted>
  <dcterms:created xsi:type="dcterms:W3CDTF">2023-02-03T12:01:00Z</dcterms:created>
  <dcterms:modified xsi:type="dcterms:W3CDTF">2023-08-07T11:16:00Z</dcterms:modified>
</cp:coreProperties>
</file>