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4CB595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1A66B1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3AC9EC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1A66B1">
        <w:rPr>
          <w:rFonts w:eastAsia="Times New Roman"/>
          <w:sz w:val="24"/>
          <w:szCs w:val="24"/>
        </w:rPr>
        <w:t>48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9B228F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47445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4B154C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1A66B1">
        <w:rPr>
          <w:rFonts w:eastAsia="Times New Roman"/>
          <w:sz w:val="24"/>
          <w:szCs w:val="24"/>
        </w:rPr>
        <w:t>Acresce atividade no anexo I da Lei nº 2.255/2021 – Plano Plurianual para o quadriênio 2022-2025 e ao anexo III da Lei nº 2.368/2022 – Lei de Diretrizes Orçamentárias para o exercício de 2023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21C883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1A66B1" w:rsidRPr="001A66B1">
        <w:rPr>
          <w:rFonts w:eastAsia="Times New Roman"/>
          <w:sz w:val="24"/>
          <w:szCs w:val="24"/>
        </w:rPr>
        <w:t xml:space="preserve"> </w:t>
      </w:r>
      <w:r w:rsidR="001A66B1">
        <w:rPr>
          <w:rFonts w:eastAsia="Times New Roman"/>
          <w:sz w:val="24"/>
          <w:szCs w:val="24"/>
        </w:rPr>
        <w:t>a</w:t>
      </w:r>
      <w:r w:rsidR="001A66B1">
        <w:rPr>
          <w:rFonts w:eastAsia="Times New Roman"/>
          <w:sz w:val="24"/>
          <w:szCs w:val="24"/>
        </w:rPr>
        <w:t>cresce</w:t>
      </w:r>
      <w:r w:rsidR="001A66B1">
        <w:rPr>
          <w:rFonts w:eastAsia="Times New Roman"/>
          <w:sz w:val="24"/>
          <w:szCs w:val="24"/>
        </w:rPr>
        <w:t>ntar</w:t>
      </w:r>
      <w:r w:rsidR="001A66B1">
        <w:rPr>
          <w:rFonts w:eastAsia="Times New Roman"/>
          <w:sz w:val="24"/>
          <w:szCs w:val="24"/>
        </w:rPr>
        <w:t xml:space="preserve"> atividade no anexo I da Lei nº 2.255/2021 – Plano Plurianual para o quadriênio 2022-2025 e ao anexo III da Lei nº 2.368/2022 – Lei de Diretrizes Orçamentárias para o exercício de 2023</w:t>
      </w:r>
      <w:r w:rsidR="001A66B1">
        <w:rPr>
          <w:rFonts w:eastAsia="Times New Roman"/>
          <w:sz w:val="24"/>
          <w:szCs w:val="24"/>
        </w:rPr>
        <w:t>, a inclusão é necessária para cumprir recomendações do Tribunal de Contas do Estado.</w:t>
      </w:r>
      <w:r w:rsidR="001A66B1" w:rsidRPr="00D2322E">
        <w:rPr>
          <w:rFonts w:eastAsia="Times New Roman"/>
          <w:sz w:val="24"/>
          <w:szCs w:val="24"/>
        </w:rPr>
        <w:t xml:space="preserve"> 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677274C0" w14:textId="5B06F94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47445">
        <w:rPr>
          <w:rFonts w:eastAsia="Times New Roman"/>
          <w:sz w:val="24"/>
          <w:szCs w:val="24"/>
        </w:rPr>
        <w:t>0</w:t>
      </w:r>
      <w:r w:rsidR="001A66B1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Pr="00D2322E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E23B2"/>
    <w:rsid w:val="00865C2D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34</cp:revision>
  <cp:lastPrinted>2023-08-07T11:11:00Z</cp:lastPrinted>
  <dcterms:created xsi:type="dcterms:W3CDTF">2023-02-03T12:01:00Z</dcterms:created>
  <dcterms:modified xsi:type="dcterms:W3CDTF">2023-08-07T11:11:00Z</dcterms:modified>
</cp:coreProperties>
</file>