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25C6B97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64FE8">
        <w:rPr>
          <w:rFonts w:eastAsia="Times New Roman"/>
          <w:sz w:val="24"/>
          <w:szCs w:val="24"/>
        </w:rPr>
        <w:t>9</w:t>
      </w:r>
      <w:r w:rsidR="008674DE">
        <w:rPr>
          <w:rFonts w:eastAsia="Times New Roman"/>
          <w:sz w:val="24"/>
          <w:szCs w:val="24"/>
        </w:rPr>
        <w:t>6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792D6708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8674DE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692FE5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12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3322726D" w14:textId="3E2D57D8" w:rsidR="008674D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8674DE">
        <w:rPr>
          <w:rFonts w:eastAsia="Times New Roman"/>
          <w:sz w:val="24"/>
          <w:szCs w:val="24"/>
        </w:rPr>
        <w:t xml:space="preserve">Estabelece o índice para revisão geral anual aos ocupantes de cargos de Secretários </w:t>
      </w:r>
      <w:r w:rsidR="008674DE">
        <w:rPr>
          <w:rFonts w:eastAsia="Times New Roman"/>
          <w:sz w:val="24"/>
          <w:szCs w:val="24"/>
        </w:rPr>
        <w:t>Municipais</w:t>
      </w:r>
      <w:r w:rsidR="008674DE">
        <w:rPr>
          <w:rFonts w:eastAsia="Times New Roman"/>
          <w:sz w:val="24"/>
          <w:szCs w:val="24"/>
        </w:rPr>
        <w:t>.</w:t>
      </w:r>
    </w:p>
    <w:p w14:paraId="23D3A0C3" w14:textId="16757551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7385D40F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, tendo, </w:t>
      </w:r>
      <w:r w:rsidR="008674DE" w:rsidRPr="00E008EB">
        <w:rPr>
          <w:rFonts w:eastAsia="Times New Roman"/>
          <w:sz w:val="24"/>
          <w:szCs w:val="24"/>
        </w:rPr>
        <w:t>como objetivo</w:t>
      </w:r>
      <w:r w:rsidR="008674DE" w:rsidRPr="00964FE8">
        <w:rPr>
          <w:rFonts w:eastAsia="Times New Roman"/>
          <w:sz w:val="24"/>
          <w:szCs w:val="24"/>
        </w:rPr>
        <w:t xml:space="preserve"> </w:t>
      </w:r>
      <w:r w:rsidR="008674DE">
        <w:rPr>
          <w:rFonts w:eastAsia="Times New Roman"/>
          <w:sz w:val="24"/>
          <w:szCs w:val="24"/>
        </w:rPr>
        <w:t>estabelecer o índice para revisão geral anual aos ocupantes de cargos de Secretários Municipais, para o ano de 2024, o índice aplicado será de 4,82% pela variação do IPCA dos últimos 12 meses.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0C73F5D2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</w:t>
      </w:r>
      <w:r w:rsidR="008674DE">
        <w:rPr>
          <w:rFonts w:eastAsia="Times New Roman"/>
          <w:sz w:val="24"/>
          <w:szCs w:val="24"/>
        </w:rPr>
        <w:t>9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5F6351"/>
    <w:rsid w:val="00766A29"/>
    <w:rsid w:val="008674DE"/>
    <w:rsid w:val="00932E64"/>
    <w:rsid w:val="00964FE8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22</cp:revision>
  <cp:lastPrinted>2023-12-18T13:34:00Z</cp:lastPrinted>
  <dcterms:created xsi:type="dcterms:W3CDTF">2023-02-03T12:01:00Z</dcterms:created>
  <dcterms:modified xsi:type="dcterms:W3CDTF">2023-12-18T13:34:00Z</dcterms:modified>
</cp:coreProperties>
</file>