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298CE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9F6D2C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80EAE6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9F6D2C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7BF99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C5639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B22271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9F6D2C">
        <w:rPr>
          <w:rFonts w:eastAsia="Times New Roman"/>
          <w:sz w:val="24"/>
          <w:szCs w:val="24"/>
        </w:rPr>
        <w:t>Autoriza a contratação emergencial de excepcional interesse público de 01 (um) professor de educação infantil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832E6A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 xml:space="preserve">autorizar </w:t>
      </w:r>
      <w:r w:rsidR="009F6D2C">
        <w:rPr>
          <w:rFonts w:eastAsia="Times New Roman"/>
          <w:sz w:val="24"/>
          <w:szCs w:val="24"/>
        </w:rPr>
        <w:t>a contratação emergencial de excepcional interesse público de 01 (um) professor de educação infantil</w:t>
      </w:r>
      <w:r w:rsidR="009F6D2C">
        <w:rPr>
          <w:rFonts w:eastAsia="Times New Roman"/>
          <w:sz w:val="24"/>
          <w:szCs w:val="24"/>
        </w:rPr>
        <w:t>, da necessidade de substituição de servidora designada para direção da escola.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E2223E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F6D2C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4955305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41</cp:revision>
  <cp:lastPrinted>2023-09-04T11:24:00Z</cp:lastPrinted>
  <dcterms:created xsi:type="dcterms:W3CDTF">2023-02-03T12:01:00Z</dcterms:created>
  <dcterms:modified xsi:type="dcterms:W3CDTF">2023-09-04T11:25:00Z</dcterms:modified>
</cp:coreProperties>
</file>