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3"/>
        <w:ind w:left="0"/>
        <w:rPr>
          <w:rFonts w:ascii="Times New Roman"/>
        </w:rPr>
      </w:pPr>
    </w:p>
    <w:p>
      <w:pPr>
        <w:spacing w:before="70"/>
        <w:ind w:left="2208" w:right="114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5.120 DE 26  DE  FEVEREIRO  DE 2016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spacing w:before="72"/>
        <w:ind w:left="5132" w:right="114" w:firstLine="6"/>
      </w:pPr>
      <w:r>
        <w:rPr/>
        <w:t>Dispõe sobre o Conselho Municipal de Turismo.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right="114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0"/>
      </w:pPr>
    </w:p>
    <w:p>
      <w:pPr>
        <w:pStyle w:val="BodyText"/>
        <w:ind w:right="116" w:firstLine="2266"/>
        <w:jc w:val="both"/>
      </w:pPr>
      <w:r>
        <w:rPr/>
        <w:t>Art. 1º O Conselho Municipal de Turismo - COMTUR passa a atuar como órgão normativo, de assessoramento, fiscalizador e consultivo, destinado a promover, orientar e garantir o aprimoramento dos objetivos e diretrizes do desenvolvimento do setor no Município.</w:t>
      </w:r>
    </w:p>
    <w:p>
      <w:pPr>
        <w:pStyle w:val="BodyText"/>
        <w:ind w:right="116" w:firstLine="2266"/>
        <w:jc w:val="both"/>
      </w:pPr>
      <w:r>
        <w:rPr/>
        <w:t>Parágrafo Único. O COMTUR de Getúlio Vargas compor-se-á de membros representativos da comunidade, com vínculo e interesses no desenvolvimento turístico do Município.</w:t>
      </w:r>
    </w:p>
    <w:p>
      <w:pPr>
        <w:pStyle w:val="BodyText"/>
        <w:ind w:left="0"/>
      </w:pPr>
    </w:p>
    <w:p>
      <w:pPr>
        <w:pStyle w:val="BodyText"/>
        <w:ind w:right="119" w:firstLine="2266"/>
        <w:jc w:val="both"/>
      </w:pPr>
      <w:r>
        <w:rPr/>
        <w:t>Art. 2º O COMTUR será o órgão encarregado do estudo e solução de problemas pertencentes à política de turismo do Município, competindo- lhe opinar, em caráter consultivo, pelos órgãos executivos municipais, cabendo-lhe, ainda, apresentar sugestões que visem fomentar o turismo receptivo no Município.</w:t>
      </w:r>
    </w:p>
    <w:p>
      <w:pPr>
        <w:pStyle w:val="BodyText"/>
        <w:ind w:right="117" w:firstLine="2266"/>
        <w:jc w:val="both"/>
      </w:pPr>
      <w:r>
        <w:rPr/>
        <w:t>Art. 3º O COMTUR poderá firmar convênios com associações, empresas privadas, ou setor público, visando impulsionar a atividade turística no Município.</w:t>
      </w:r>
    </w:p>
    <w:p>
      <w:pPr>
        <w:pStyle w:val="BodyText"/>
        <w:spacing w:before="1"/>
        <w:ind w:right="114" w:firstLine="2266"/>
        <w:jc w:val="both"/>
      </w:pPr>
      <w:r>
        <w:rPr/>
        <w:t>Parágrafo Único. O COMTUR será responsável pelo acompanhamento da implantação do Plano Municipal do Turismo."</w:t>
      </w:r>
    </w:p>
    <w:p>
      <w:pPr>
        <w:pStyle w:val="BodyText"/>
        <w:ind w:left="0"/>
      </w:pPr>
    </w:p>
    <w:p>
      <w:pPr>
        <w:pStyle w:val="BodyText"/>
        <w:ind w:right="112" w:firstLine="2266"/>
        <w:jc w:val="both"/>
      </w:pPr>
      <w:r>
        <w:rPr/>
        <w:t>Art. 4º O COMTUR, órgão normativo sobre o desenvolvimento do turismo, naquilo que a legislação determina, terá entre outras, as seguintes atribuições:</w:t>
      </w:r>
    </w:p>
    <w:p>
      <w:pPr>
        <w:spacing w:after="0"/>
        <w:jc w:val="both"/>
        <w:sectPr>
          <w:headerReference w:type="default" r:id="rId5"/>
          <w:type w:val="continuous"/>
          <w:pgSz w:w="11900" w:h="16840"/>
          <w:pgMar w:header="1011" w:top="2160" w:bottom="280" w:left="1680" w:right="1080"/>
        </w:sectPr>
      </w:pPr>
    </w:p>
    <w:p>
      <w:pPr>
        <w:pStyle w:val="BodyText"/>
        <w:ind w:left="0"/>
      </w:pPr>
    </w:p>
    <w:p>
      <w:pPr>
        <w:pStyle w:val="BodyText"/>
        <w:ind w:right="-20"/>
      </w:pPr>
      <w:r>
        <w:rPr/>
        <w:t>Município;</w:t>
      </w: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240" w:lineRule="auto" w:before="1" w:after="0"/>
        <w:ind w:left="608" w:right="0" w:firstLine="0"/>
        <w:jc w:val="left"/>
        <w:rPr>
          <w:sz w:val="22"/>
        </w:rPr>
      </w:pPr>
      <w:r>
        <w:rPr>
          <w:sz w:val="22"/>
        </w:rPr>
        <w:br w:type="column"/>
        <w:t>- articular a proteção de defesa dos interesses turísticos   </w:t>
      </w:r>
      <w:r>
        <w:rPr>
          <w:spacing w:val="18"/>
          <w:sz w:val="22"/>
        </w:rPr>
        <w:t> </w:t>
      </w:r>
      <w:r>
        <w:rPr>
          <w:sz w:val="22"/>
        </w:rPr>
        <w:t>do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0" w:after="0"/>
        <w:ind w:left="853" w:right="0" w:hanging="245"/>
        <w:jc w:val="left"/>
        <w:rPr>
          <w:sz w:val="22"/>
        </w:rPr>
      </w:pPr>
      <w:r>
        <w:rPr>
          <w:sz w:val="22"/>
        </w:rPr>
        <w:t>-  apoiar  a  promoção  do  desenvolvimento  sustentável</w:t>
      </w:r>
      <w:r>
        <w:rPr>
          <w:spacing w:val="47"/>
          <w:sz w:val="22"/>
        </w:rPr>
        <w:t> </w:t>
      </w:r>
      <w:r>
        <w:rPr>
          <w:sz w:val="22"/>
        </w:rPr>
        <w:t>do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1611" w:space="655"/>
            <w:col w:w="6874"/>
          </w:cols>
        </w:sectPr>
      </w:pPr>
    </w:p>
    <w:p>
      <w:pPr>
        <w:pStyle w:val="BodyText"/>
        <w:ind w:right="114"/>
      </w:pPr>
      <w:r>
        <w:rPr/>
        <w:t>turismo, recuperando, valorizando e preservando o patrimônio histórico, cultural e natural;</w:t>
      </w:r>
    </w:p>
    <w:p>
      <w:pPr>
        <w:pStyle w:val="ListParagraph"/>
        <w:numPr>
          <w:ilvl w:val="0"/>
          <w:numId w:val="1"/>
        </w:numPr>
        <w:tabs>
          <w:tab w:pos="3122" w:val="left" w:leader="none"/>
        </w:tabs>
        <w:spacing w:line="240" w:lineRule="auto" w:before="0" w:after="0"/>
        <w:ind w:left="608" w:right="123" w:firstLine="2266"/>
        <w:jc w:val="left"/>
        <w:rPr>
          <w:sz w:val="22"/>
        </w:rPr>
      </w:pPr>
      <w:r>
        <w:rPr>
          <w:sz w:val="22"/>
        </w:rPr>
        <w:t>- auxiliar na divulgação turística interna e externa no que diz respeito aos produtos turísticos do</w:t>
      </w:r>
      <w:r>
        <w:rPr>
          <w:spacing w:val="-2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88" w:val="left" w:leader="none"/>
        </w:tabs>
        <w:spacing w:line="240" w:lineRule="auto" w:before="0" w:after="0"/>
        <w:ind w:left="608" w:right="117" w:firstLine="2266"/>
        <w:jc w:val="left"/>
        <w:rPr>
          <w:sz w:val="22"/>
        </w:rPr>
      </w:pPr>
      <w:r>
        <w:rPr>
          <w:sz w:val="22"/>
        </w:rPr>
        <w:t>- agir na educação, sensibilização e divulgação do setor para a população local, da importância da atividade turística para o</w:t>
      </w:r>
      <w:r>
        <w:rPr>
          <w:spacing w:val="-37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06" w:val="left" w:leader="none"/>
        </w:tabs>
        <w:spacing w:line="252" w:lineRule="exact" w:before="0" w:after="0"/>
        <w:ind w:left="3105" w:right="0" w:hanging="231"/>
        <w:jc w:val="left"/>
        <w:rPr>
          <w:sz w:val="22"/>
        </w:rPr>
      </w:pPr>
      <w:r>
        <w:rPr>
          <w:sz w:val="22"/>
        </w:rPr>
        <w:t>- incentivar a iniciativa privada no sentido de impulsionar   </w:t>
      </w:r>
      <w:r>
        <w:rPr>
          <w:spacing w:val="15"/>
          <w:sz w:val="22"/>
        </w:rPr>
        <w:t> </w:t>
      </w:r>
      <w:r>
        <w:rPr>
          <w:sz w:val="22"/>
        </w:rPr>
        <w:t>o</w:t>
      </w:r>
    </w:p>
    <w:p>
      <w:pPr>
        <w:pStyle w:val="BodyText"/>
        <w:spacing w:line="252" w:lineRule="exact" w:before="1"/>
        <w:ind w:right="114"/>
      </w:pPr>
      <w:r>
        <w:rPr/>
        <w:t>turismo;</w:t>
      </w:r>
    </w:p>
    <w:p>
      <w:pPr>
        <w:pStyle w:val="ListParagraph"/>
        <w:numPr>
          <w:ilvl w:val="0"/>
          <w:numId w:val="1"/>
        </w:numPr>
        <w:tabs>
          <w:tab w:pos="3168" w:val="left" w:leader="none"/>
        </w:tabs>
        <w:spacing w:line="252" w:lineRule="exact" w:before="0" w:after="0"/>
        <w:ind w:left="3167" w:right="0" w:hanging="293"/>
        <w:jc w:val="left"/>
        <w:rPr>
          <w:sz w:val="22"/>
        </w:rPr>
      </w:pPr>
      <w:r>
        <w:rPr>
          <w:sz w:val="22"/>
        </w:rPr>
        <w:t>- sugerir medidas que proporcionem aos turistas  </w:t>
      </w:r>
      <w:r>
        <w:rPr>
          <w:spacing w:val="23"/>
          <w:sz w:val="22"/>
        </w:rPr>
        <w:t> </w:t>
      </w:r>
      <w:r>
        <w:rPr>
          <w:sz w:val="22"/>
        </w:rPr>
        <w:t>melhores</w:t>
      </w:r>
    </w:p>
    <w:p>
      <w:pPr>
        <w:pStyle w:val="BodyText"/>
        <w:spacing w:before="1"/>
        <w:ind w:right="114"/>
      </w:pPr>
      <w:r>
        <w:rPr/>
        <w:t>condições na infraestrutura turística como, entrada, transporte, comunicações e estada no Município;</w:t>
      </w:r>
    </w:p>
    <w:p>
      <w:pPr>
        <w:pStyle w:val="ListParagraph"/>
        <w:numPr>
          <w:ilvl w:val="0"/>
          <w:numId w:val="1"/>
        </w:numPr>
        <w:tabs>
          <w:tab w:pos="3296" w:val="left" w:leader="none"/>
        </w:tabs>
        <w:spacing w:line="240" w:lineRule="auto" w:before="1" w:after="0"/>
        <w:ind w:left="608" w:right="119" w:firstLine="2266"/>
        <w:jc w:val="both"/>
        <w:rPr>
          <w:sz w:val="22"/>
        </w:rPr>
      </w:pPr>
      <w:r>
        <w:rPr>
          <w:sz w:val="22"/>
        </w:rPr>
        <w:t>- apoiar as festividades de cunho cultural, esportivo, artístico e folclórico que, por sua importância e proporção, influenciem positivamente  o fluxo turístico do</w:t>
      </w:r>
      <w:r>
        <w:rPr>
          <w:spacing w:val="-1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268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– pesquisar e estudar, de forma sistemática e permanente, o mercado e a oferta turística do Município, a fim de contar com os dados necessários para a implementação e melhoria do</w:t>
      </w:r>
      <w:r>
        <w:rPr>
          <w:spacing w:val="-18"/>
          <w:sz w:val="22"/>
        </w:rPr>
        <w:t> </w:t>
      </w:r>
      <w:r>
        <w:rPr>
          <w:sz w:val="22"/>
        </w:rPr>
        <w:t>setor;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142" w:val="left" w:leader="none"/>
        </w:tabs>
        <w:spacing w:line="252" w:lineRule="exact" w:before="73" w:after="0"/>
        <w:ind w:left="3141" w:right="0" w:hanging="267"/>
        <w:jc w:val="left"/>
        <w:rPr>
          <w:sz w:val="22"/>
        </w:rPr>
      </w:pPr>
      <w:r>
        <w:rPr>
          <w:sz w:val="22"/>
        </w:rPr>
        <w:t>- promover debates sobre temas de interesse</w:t>
      </w:r>
      <w:r>
        <w:rPr>
          <w:spacing w:val="-27"/>
          <w:sz w:val="22"/>
        </w:rPr>
        <w:t> </w:t>
      </w:r>
      <w:r>
        <w:rPr>
          <w:sz w:val="22"/>
        </w:rPr>
        <w:t>turístico;</w:t>
      </w:r>
    </w:p>
    <w:p>
      <w:pPr>
        <w:pStyle w:val="ListParagraph"/>
        <w:numPr>
          <w:ilvl w:val="0"/>
          <w:numId w:val="1"/>
        </w:numPr>
        <w:tabs>
          <w:tab w:pos="3082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- sugerir ações no sentido de qualificar os recursos</w:t>
      </w:r>
      <w:r>
        <w:rPr>
          <w:spacing w:val="-28"/>
          <w:sz w:val="22"/>
        </w:rPr>
        <w:t> </w:t>
      </w:r>
      <w:r>
        <w:rPr>
          <w:sz w:val="22"/>
        </w:rPr>
        <w:t>humanos que atuam diretamente em hotéis, pousadas, restaurantes, bares e similares, e outras empresas de atendimento ao</w:t>
      </w:r>
      <w:r>
        <w:rPr>
          <w:spacing w:val="-18"/>
          <w:sz w:val="22"/>
        </w:rPr>
        <w:t> </w:t>
      </w:r>
      <w:r>
        <w:rPr>
          <w:sz w:val="22"/>
        </w:rPr>
        <w:t>turista;</w:t>
      </w:r>
    </w:p>
    <w:p>
      <w:pPr>
        <w:pStyle w:val="ListParagraph"/>
        <w:numPr>
          <w:ilvl w:val="0"/>
          <w:numId w:val="1"/>
        </w:numPr>
        <w:tabs>
          <w:tab w:pos="3178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- contribuir no planejamento para aproveitamento turístico dos recursos naturais, histórico e culturais do</w:t>
      </w:r>
      <w:r>
        <w:rPr>
          <w:spacing w:val="-27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210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- opinar sobre outros assuntos associadois ao turismo, que lhe forem submetidos pelo Poder Público, iniciativa privada ou pela sociedade civil organizada."</w:t>
      </w:r>
    </w:p>
    <w:p>
      <w:pPr>
        <w:pStyle w:val="BodyText"/>
        <w:ind w:right="114" w:firstLine="2266"/>
      </w:pPr>
      <w:r>
        <w:rPr/>
        <w:t>Art. 5º O COMTUR compor-se-á de 12 (doze) membros nomeados pelo Chefe do Poder Executivo Municipal, sendo:</w:t>
      </w:r>
    </w:p>
    <w:p>
      <w:pPr>
        <w:pStyle w:val="BodyText"/>
        <w:spacing w:line="252" w:lineRule="exact"/>
        <w:ind w:left="2874" w:right="114"/>
      </w:pPr>
      <w:r>
        <w:rPr/>
        <w:t>I - seis representantes do Poder Executivo:</w:t>
      </w:r>
    </w:p>
    <w:p>
      <w:pPr>
        <w:pStyle w:val="ListParagraph"/>
        <w:numPr>
          <w:ilvl w:val="0"/>
          <w:numId w:val="2"/>
        </w:numPr>
        <w:tabs>
          <w:tab w:pos="3164" w:val="left" w:leader="none"/>
        </w:tabs>
        <w:spacing w:line="240" w:lineRule="auto" w:before="1" w:after="0"/>
        <w:ind w:left="3163" w:right="0" w:hanging="289"/>
        <w:jc w:val="left"/>
        <w:rPr>
          <w:sz w:val="22"/>
        </w:rPr>
      </w:pPr>
      <w:r>
        <w:rPr>
          <w:sz w:val="22"/>
        </w:rPr>
        <w:t>o Prefeito do  Município ou  um representante  indicado</w:t>
      </w:r>
      <w:r>
        <w:rPr>
          <w:spacing w:val="53"/>
          <w:sz w:val="22"/>
        </w:rPr>
        <w:t> </w:t>
      </w:r>
      <w:r>
        <w:rPr>
          <w:sz w:val="22"/>
        </w:rPr>
        <w:t>por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line="480" w:lineRule="auto"/>
        <w:ind w:right="-20"/>
      </w:pPr>
      <w:r>
        <w:rPr/>
        <w:t>ele; Econômico; Desporto;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2"/>
        </w:numPr>
        <w:tabs>
          <w:tab w:pos="1059" w:val="left" w:leader="none"/>
          <w:tab w:pos="1060" w:val="left" w:leader="none"/>
          <w:tab w:pos="1623" w:val="left" w:leader="none"/>
          <w:tab w:pos="2124" w:val="left" w:leader="none"/>
          <w:tab w:pos="3381" w:val="left" w:leader="none"/>
          <w:tab w:pos="4568" w:val="left" w:leader="none"/>
          <w:tab w:pos="5070" w:val="left" w:leader="none"/>
        </w:tabs>
        <w:spacing w:line="240" w:lineRule="auto" w:before="0" w:after="0"/>
        <w:ind w:left="1059" w:right="0" w:hanging="451"/>
        <w:jc w:val="left"/>
        <w:rPr>
          <w:sz w:val="22"/>
        </w:rPr>
      </w:pPr>
      <w:r>
        <w:rPr>
          <w:sz w:val="22"/>
        </w:rPr>
        <w:t>um</w:t>
        <w:tab/>
        <w:t>da</w:t>
        <w:tab/>
        <w:t>Secretaria</w:t>
        <w:tab/>
        <w:t>Municipal</w:t>
        <w:tab/>
        <w:t>de</w:t>
        <w:tab/>
        <w:t>Desenvolvimento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962" w:val="left" w:leader="none"/>
        </w:tabs>
        <w:spacing w:line="240" w:lineRule="auto" w:before="0" w:after="0"/>
        <w:ind w:left="961" w:right="0" w:hanging="353"/>
        <w:jc w:val="left"/>
        <w:rPr>
          <w:sz w:val="22"/>
        </w:rPr>
      </w:pPr>
      <w:r>
        <w:rPr>
          <w:sz w:val="22"/>
        </w:rPr>
        <w:t>um   da   Secretaria   Municipal   de   Educação,   Cultura</w:t>
      </w:r>
      <w:r>
        <w:rPr>
          <w:spacing w:val="10"/>
          <w:sz w:val="22"/>
        </w:rPr>
        <w:t> </w:t>
      </w:r>
      <w:r>
        <w:rPr>
          <w:sz w:val="22"/>
        </w:rPr>
        <w:t>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52" w:lineRule="exact" w:before="0" w:after="0"/>
        <w:ind w:left="863" w:right="0" w:hanging="255"/>
        <w:jc w:val="left"/>
        <w:rPr>
          <w:sz w:val="22"/>
        </w:rPr>
      </w:pPr>
      <w:r>
        <w:rPr>
          <w:sz w:val="22"/>
        </w:rPr>
        <w:t>um da Secretaria Municipal de Meio</w:t>
      </w:r>
      <w:r>
        <w:rPr>
          <w:spacing w:val="-33"/>
          <w:sz w:val="22"/>
        </w:rPr>
        <w:t> </w:t>
      </w:r>
      <w:r>
        <w:rPr>
          <w:sz w:val="22"/>
        </w:rPr>
        <w:t>Ambiente;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52" w:lineRule="exact" w:before="0" w:after="0"/>
        <w:ind w:left="863" w:right="0" w:hanging="255"/>
        <w:jc w:val="left"/>
        <w:rPr>
          <w:sz w:val="22"/>
        </w:rPr>
      </w:pPr>
      <w:r>
        <w:rPr>
          <w:sz w:val="22"/>
        </w:rPr>
        <w:t>um da Secretaria Municipal de Obras, Viação e</w:t>
      </w:r>
      <w:r>
        <w:rPr>
          <w:spacing w:val="-28"/>
          <w:sz w:val="22"/>
        </w:rPr>
        <w:t> </w:t>
      </w:r>
      <w:r>
        <w:rPr>
          <w:sz w:val="22"/>
        </w:rPr>
        <w:t>Serviços;</w:t>
      </w:r>
    </w:p>
    <w:p>
      <w:pPr>
        <w:pStyle w:val="ListParagraph"/>
        <w:numPr>
          <w:ilvl w:val="0"/>
          <w:numId w:val="2"/>
        </w:numPr>
        <w:tabs>
          <w:tab w:pos="804" w:val="left" w:leader="none"/>
        </w:tabs>
        <w:spacing w:line="252" w:lineRule="exact" w:before="1" w:after="0"/>
        <w:ind w:left="803" w:right="0" w:hanging="195"/>
        <w:jc w:val="left"/>
        <w:rPr>
          <w:sz w:val="22"/>
        </w:rPr>
      </w:pPr>
      <w:r>
        <w:rPr>
          <w:sz w:val="22"/>
        </w:rPr>
        <w:t>um do Instituto Histórico</w:t>
      </w:r>
      <w:r>
        <w:rPr>
          <w:spacing w:val="-18"/>
          <w:sz w:val="22"/>
        </w:rPr>
        <w:t> </w:t>
      </w:r>
      <w:r>
        <w:rPr>
          <w:sz w:val="22"/>
        </w:rPr>
        <w:t>Municipal;</w:t>
      </w:r>
    </w:p>
    <w:p>
      <w:pPr>
        <w:pStyle w:val="BodyText"/>
        <w:ind w:right="74"/>
      </w:pPr>
      <w:r>
        <w:rPr/>
        <w:t>II - um representante da ASCAR/EMATER de Getúlio Vargas; III  -  um  representante  da  Associação  Comercial,    Cultura,</w:t>
      </w:r>
    </w:p>
    <w:p>
      <w:pPr>
        <w:spacing w:after="0"/>
        <w:sectPr>
          <w:type w:val="continuous"/>
          <w:pgSz w:w="11900" w:h="16840"/>
          <w:pgMar w:top="2160" w:bottom="280" w:left="1680" w:right="1080"/>
          <w:cols w:num="2" w:equalWidth="0">
            <w:col w:w="1758" w:space="508"/>
            <w:col w:w="6874"/>
          </w:cols>
        </w:sectPr>
      </w:pPr>
    </w:p>
    <w:p>
      <w:pPr>
        <w:pStyle w:val="BodyText"/>
        <w:spacing w:line="252" w:lineRule="exact"/>
        <w:ind w:right="114"/>
      </w:pPr>
      <w:r>
        <w:rPr/>
        <w:t>Industrial, de Pecuária e de Serviços de Getúlio Vargas - ACCIAS;</w:t>
      </w:r>
    </w:p>
    <w:p>
      <w:pPr>
        <w:pStyle w:val="BodyText"/>
        <w:spacing w:before="1"/>
        <w:ind w:left="2874" w:right="114"/>
      </w:pPr>
      <w:r>
        <w:rPr/>
        <w:t>IV - um representante da Câmara de Dirigentes Logistas de</w:t>
      </w:r>
    </w:p>
    <w:p>
      <w:pPr>
        <w:spacing w:after="0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spacing w:line="252" w:lineRule="exact"/>
        <w:ind w:right="-10"/>
      </w:pPr>
      <w:r>
        <w:rPr/>
        <w:t>Getúlio </w:t>
      </w:r>
      <w:r>
        <w:rPr>
          <w:spacing w:val="-4"/>
        </w:rPr>
        <w:t>Vargas </w:t>
      </w:r>
      <w:r>
        <w:rPr/>
        <w:t>- CDL;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52" w:lineRule="exact" w:before="0" w:after="0"/>
        <w:ind w:left="608" w:right="0" w:hanging="517"/>
        <w:jc w:val="left"/>
        <w:rPr>
          <w:sz w:val="22"/>
        </w:rPr>
      </w:pPr>
      <w:r>
        <w:rPr>
          <w:sz w:val="22"/>
        </w:rPr>
        <w:t>- um representante do</w:t>
      </w:r>
      <w:r>
        <w:rPr>
          <w:spacing w:val="-15"/>
          <w:sz w:val="22"/>
        </w:rPr>
        <w:t> </w:t>
      </w:r>
      <w:r>
        <w:rPr>
          <w:sz w:val="22"/>
        </w:rPr>
        <w:t>PRODEGE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52" w:lineRule="exact" w:before="0" w:after="0"/>
        <w:ind w:left="421" w:right="0" w:hanging="330"/>
        <w:jc w:val="left"/>
        <w:rPr>
          <w:sz w:val="22"/>
        </w:rPr>
      </w:pPr>
      <w:r>
        <w:rPr>
          <w:sz w:val="22"/>
        </w:rPr>
        <w:t>–  um  representante  da  Organização  dos  Advogados</w:t>
      </w:r>
      <w:r>
        <w:rPr>
          <w:spacing w:val="19"/>
          <w:sz w:val="22"/>
        </w:rPr>
        <w:t> </w:t>
      </w:r>
      <w:r>
        <w:rPr>
          <w:sz w:val="22"/>
        </w:rPr>
        <w:t>do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2743" w:space="40"/>
            <w:col w:w="6357"/>
          </w:cols>
        </w:sectPr>
      </w:pPr>
    </w:p>
    <w:p>
      <w:pPr>
        <w:pStyle w:val="BodyText"/>
        <w:spacing w:line="252" w:lineRule="exact" w:before="1"/>
        <w:ind w:right="114"/>
      </w:pPr>
      <w:r>
        <w:rPr/>
        <w:t>Brasil de Getúlio Vargas – OAB;</w:t>
      </w:r>
    </w:p>
    <w:p>
      <w:pPr>
        <w:pStyle w:val="ListParagraph"/>
        <w:numPr>
          <w:ilvl w:val="0"/>
          <w:numId w:val="3"/>
        </w:numPr>
        <w:tabs>
          <w:tab w:pos="3306" w:val="left" w:leader="none"/>
        </w:tabs>
        <w:spacing w:line="240" w:lineRule="auto" w:before="0" w:after="0"/>
        <w:ind w:left="608" w:right="117" w:firstLine="2266"/>
        <w:jc w:val="both"/>
        <w:rPr>
          <w:sz w:val="22"/>
        </w:rPr>
      </w:pPr>
      <w:r>
        <w:rPr>
          <w:sz w:val="22"/>
        </w:rPr>
        <w:t>– um representante do Instituto de Desenvolvimento Educacional do Alto Uruguai – Faculdade IDEAU, campus de Getúlio</w:t>
      </w:r>
      <w:r>
        <w:rPr>
          <w:spacing w:val="-38"/>
          <w:sz w:val="22"/>
        </w:rPr>
        <w:t> </w:t>
      </w:r>
      <w:r>
        <w:rPr>
          <w:spacing w:val="-4"/>
          <w:sz w:val="22"/>
        </w:rPr>
        <w:t>Vargas</w:t>
      </w:r>
    </w:p>
    <w:p>
      <w:pPr>
        <w:pStyle w:val="BodyText"/>
        <w:ind w:right="121" w:firstLine="2266"/>
        <w:jc w:val="both"/>
      </w:pPr>
      <w:r>
        <w:rPr/>
        <w:t>§ 1º Cada uma das entidades indicará um representante com seu respectivo suplente.</w:t>
      </w:r>
    </w:p>
    <w:p>
      <w:pPr>
        <w:pStyle w:val="BodyText"/>
        <w:ind w:right="112" w:firstLine="2266"/>
        <w:jc w:val="both"/>
      </w:pPr>
      <w:r>
        <w:rPr/>
        <w:t>§ 2º Outras entidades que vierem a ser criadas poderão passar a fazer parte do COMTUR, mediante autorização</w:t>
      </w:r>
      <w:r>
        <w:rPr>
          <w:spacing w:val="-29"/>
        </w:rPr>
        <w:t> </w:t>
      </w:r>
      <w:r>
        <w:rPr/>
        <w:t>legislativa.</w:t>
      </w:r>
    </w:p>
    <w:p>
      <w:pPr>
        <w:pStyle w:val="BodyText"/>
        <w:ind w:right="114" w:firstLine="2266"/>
        <w:jc w:val="both"/>
      </w:pPr>
      <w:r>
        <w:rPr/>
        <w:t>§ 3º O mandato dos conselheiros terá duração de 2 (dois) anos, admitida a recondução, limitada a duas vezes.</w:t>
      </w:r>
    </w:p>
    <w:p>
      <w:pPr>
        <w:pStyle w:val="BodyText"/>
        <w:ind w:right="115" w:firstLine="2266"/>
        <w:jc w:val="both"/>
      </w:pPr>
      <w:r>
        <w:rPr/>
        <w:t>§ 4º O Presidente do COMTUR será eleito por seus membros, por 2 (dois) anos, devendo a escolha recair sobre um dos representantes arrolados neste artigo, permitida a reeleição.</w:t>
      </w:r>
    </w:p>
    <w:p>
      <w:pPr>
        <w:pStyle w:val="BodyText"/>
        <w:ind w:left="0"/>
      </w:pPr>
    </w:p>
    <w:p>
      <w:pPr>
        <w:pStyle w:val="BodyText"/>
        <w:ind w:right="122" w:firstLine="2266"/>
        <w:jc w:val="both"/>
      </w:pPr>
      <w:r>
        <w:rPr/>
        <w:t>Art. 6º A função dos membros do COMTUR é considerada de relevante interesse público e não será remunerada.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right="115" w:firstLine="2266"/>
        <w:jc w:val="both"/>
      </w:pPr>
      <w:r>
        <w:rPr/>
        <w:t>Art. 7º As atribuições dos membros do COMTUR serão definidas no seu regimento interno, uma vez constituído o presente Conselho, relativamente a suas atividades, critérios para funcionamento, competência, atribuições e outras providências.</w:t>
      </w:r>
    </w:p>
    <w:p>
      <w:pPr>
        <w:spacing w:after="0"/>
        <w:jc w:val="both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3"/>
        <w:ind w:left="2874" w:right="114"/>
      </w:pPr>
      <w:r>
        <w:rPr/>
        <w:t>Art. 8º Esta Lei entra em vigor na data de sua publicação.</w:t>
      </w:r>
    </w:p>
    <w:p>
      <w:pPr>
        <w:pStyle w:val="BodyText"/>
        <w:ind w:left="0"/>
      </w:pPr>
    </w:p>
    <w:p>
      <w:pPr>
        <w:pStyle w:val="BodyText"/>
        <w:ind w:right="114"/>
      </w:pPr>
      <w:r>
        <w:rPr/>
        <w:t>PREFEITURA MUNICIPAL DE GETÚLIO VARGAS, 26 de fevereiro de 2016.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2874" w:right="114"/>
      </w:pPr>
      <w:r>
        <w:rPr/>
        <w:t>Bel. PEDRO PAULO PREZZOTTO,</w:t>
      </w:r>
    </w:p>
    <w:p>
      <w:pPr>
        <w:pStyle w:val="BodyText"/>
        <w:spacing w:before="1"/>
        <w:ind w:left="2874" w:right="114"/>
      </w:pPr>
      <w:r>
        <w:rPr/>
        <w:t>Prefeito Municipal.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4718" w:val="left" w:leader="none"/>
          <w:tab w:pos="7828" w:val="left" w:leader="none"/>
        </w:tabs>
      </w:pPr>
      <w:r>
        <w:rPr/>
        <w:t>Registre-se</w:t>
        <w:tab/>
        <w:t>e</w:t>
        <w:tab/>
        <w:t>publique-se.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spacing w:line="252" w:lineRule="exact"/>
        <w:ind w:left="2874" w:right="114"/>
      </w:pPr>
      <w:r>
        <w:rPr/>
        <w:t>JULIANO NARDI,</w:t>
      </w:r>
    </w:p>
    <w:p>
      <w:pPr>
        <w:pStyle w:val="BodyText"/>
        <w:tabs>
          <w:tab w:pos="5607" w:val="left" w:leader="none"/>
          <w:tab w:pos="7572" w:val="left" w:leader="none"/>
        </w:tabs>
        <w:spacing w:line="252" w:lineRule="exact"/>
        <w:ind w:left="2874"/>
      </w:pPr>
      <w:r>
        <w:rPr/>
        <w:t>Secretário</w:t>
        <w:tab/>
        <w:t>de</w:t>
        <w:tab/>
        <w:t>Administração.</w:t>
      </w:r>
    </w:p>
    <w:sectPr>
      <w:pgSz w:w="11900" w:h="16840"/>
      <w:pgMar w:header="1011" w:footer="0" w:top="216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4456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upperRoman"/>
      <w:lvlText w:val="%1"/>
      <w:lvlJc w:val="left"/>
      <w:pPr>
        <w:ind w:left="608" w:hanging="208"/>
        <w:jc w:val="righ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175" w:hanging="2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2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7" w:hanging="2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3" w:hanging="2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8" w:hanging="2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4" w:hanging="2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30" w:hanging="2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6" w:hanging="208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163" w:hanging="290"/>
        <w:jc w:val="right"/>
      </w:pPr>
      <w:rPr>
        <w:rFonts w:hint="default" w:ascii="Arial" w:hAnsi="Arial" w:eastAsia="Arial" w:cs="Arial"/>
        <w:spacing w:val="-29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758" w:hanging="2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56" w:hanging="2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54" w:hanging="2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52" w:hanging="2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0" w:hanging="2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8" w:hanging="2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2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4" w:hanging="29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48"/>
        <w:jc w:val="righ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27" w:hanging="1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1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2" w:hanging="1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9" w:hanging="1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7" w:hanging="1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4" w:hanging="1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1" w:hanging="1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9" w:hanging="14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608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2016-04-01T13:18:04Z</dcterms:created>
  <dcterms:modified xsi:type="dcterms:W3CDTF">2016-04-01T13:18:04Z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