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C6" w:rsidRDefault="004B63D4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5.266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DE 14 DE JUNHO DE 2017</w:t>
      </w:r>
    </w:p>
    <w:p w:rsidR="009026C6" w:rsidRDefault="009026C6">
      <w:pPr>
        <w:pStyle w:val="Standard"/>
        <w:ind w:right="1200"/>
        <w:jc w:val="center"/>
        <w:rPr>
          <w:rFonts w:ascii="Calibri" w:hAnsi="Calibri"/>
        </w:rPr>
      </w:pPr>
    </w:p>
    <w:p w:rsidR="009026C6" w:rsidRDefault="009026C6">
      <w:pPr>
        <w:pStyle w:val="Standard"/>
        <w:jc w:val="center"/>
        <w:rPr>
          <w:rFonts w:ascii="Times New Roman" w:hAnsi="Times New Roman"/>
        </w:rPr>
      </w:pPr>
    </w:p>
    <w:p w:rsidR="009026C6" w:rsidRDefault="009026C6">
      <w:pPr>
        <w:pStyle w:val="Standard"/>
        <w:jc w:val="center"/>
        <w:rPr>
          <w:rFonts w:ascii="Times New Roman" w:hAnsi="Times New Roman"/>
        </w:rPr>
      </w:pPr>
    </w:p>
    <w:p w:rsidR="009026C6" w:rsidRDefault="004B63D4">
      <w:pPr>
        <w:pStyle w:val="Standard"/>
        <w:ind w:left="5613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Dispõe sobre a criação da Ouvidoria da Câmara Municipal de Getúlio Vargas e dá outras providências.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i/>
          <w:sz w:val="22"/>
          <w:szCs w:val="22"/>
        </w:rPr>
      </w:pP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res aprovou e ele sanciona e promulga a seguinte Lei: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1º. Fica criada a Ouvidoria da Câmara Municipal de Getúlio Vargas, sendo órgão de interlocução entre esta Casa Legislativa e a sociedade, tendo por objetivo assegurar, de modo permanente e eficaz, </w:t>
      </w:r>
      <w:r>
        <w:rPr>
          <w:rFonts w:ascii="Calibri" w:hAnsi="Calibri"/>
          <w:sz w:val="22"/>
          <w:szCs w:val="22"/>
        </w:rPr>
        <w:t>a preservação dos princípios da legalidade, moralidade, publicidade e eficiência dos atos dos agentes da Administração Direta e Indireta, conforme atribuições do Poder Legislativo.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Único: Fica criado o cargo de Ouvidor que será desempenhado por </w:t>
      </w:r>
      <w:r>
        <w:rPr>
          <w:rFonts w:ascii="Calibri" w:hAnsi="Calibri"/>
          <w:sz w:val="22"/>
          <w:szCs w:val="22"/>
        </w:rPr>
        <w:t>vereador eleito anualmente, entre seus pares, para desempenhar tal função, sem percepção de qualquer tipo de gratificação, permitida a recondução por mais um ano.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2º. A Ouvidoria será chefiada por vereador eleito, entre seus pares, para o cargo de Ou</w:t>
      </w:r>
      <w:r>
        <w:rPr>
          <w:rFonts w:ascii="Calibri" w:hAnsi="Calibri"/>
          <w:sz w:val="22"/>
          <w:szCs w:val="22"/>
        </w:rPr>
        <w:t>vidor pelo período de um ano, sem percepção de qualquer tipo de gratificação e/ou remuneração pela função, permitida a recondução por mais um ano.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1º. A eleição do Ouvidor ocorrerá juntamente com a eleição da Mesa Diretora;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2º. No corrente ano a eleiçã</w:t>
      </w:r>
      <w:r>
        <w:rPr>
          <w:rFonts w:ascii="Calibri" w:hAnsi="Calibri"/>
          <w:sz w:val="22"/>
          <w:szCs w:val="22"/>
        </w:rPr>
        <w:t>o para o cargo de Ouvidor se dará na primeira sessão legislativa ordinária seguinte à publicação da presente Lei, e o referido cargo será exercido até o dia 31 de dezembro de 2017.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3º. A Ouvidoria será o canal de comunicação direta entre a sociedade </w:t>
      </w:r>
      <w:r>
        <w:rPr>
          <w:rFonts w:ascii="Calibri" w:hAnsi="Calibri"/>
          <w:sz w:val="22"/>
          <w:szCs w:val="22"/>
        </w:rPr>
        <w:t>e a Câmara Municipal, recebendo reclamações, denúncias, sugestões, solicitações e elogios, de modo a estimular a participação do cidadão no controle e avaliação dos serviços prestados e na gestão dos recursos públicos.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4º. Compete à Ouvidoria da Câma</w:t>
      </w:r>
      <w:r>
        <w:rPr>
          <w:rFonts w:ascii="Calibri" w:hAnsi="Calibri"/>
          <w:sz w:val="22"/>
          <w:szCs w:val="22"/>
        </w:rPr>
        <w:t>ra Municipal: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- receber denúncias, sugestões, elogios, solicitações, reclamações e representações sobre atos e condutas praticados por servidores da Câmara Municipal;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- receber, analisar e encaminhar aos órgãos competentes as manifestações da sociedad</w:t>
      </w:r>
      <w:r>
        <w:rPr>
          <w:rFonts w:ascii="Calibri" w:hAnsi="Calibri"/>
          <w:sz w:val="22"/>
          <w:szCs w:val="22"/>
        </w:rPr>
        <w:t>e que lhe for dirigidas, observando as competências do Poder Legislativo Municipal, em especial aquelas sobre: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 xml:space="preserve"> violação ou qualquer forma de discriminação atentatória dos direitos e liberdades fundamentais;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 xml:space="preserve"> ilegalidades, atos de improbidade administrativa e abuso de poder;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 xml:space="preserve"> mal funcionamento dos serviços legislativos e administrativos da Câmara Municipal;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- diligenciar junto às unidades administrativas competentes, para que prestem informações e esclar</w:t>
      </w:r>
      <w:r>
        <w:rPr>
          <w:rFonts w:ascii="Calibri" w:hAnsi="Calibri"/>
          <w:sz w:val="22"/>
          <w:szCs w:val="22"/>
        </w:rPr>
        <w:t>ecimentos a respeito das comunicações mencionadas no inciso anterior;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 - manter o cidadão informado a respeito das averiguações e providências adotadas pelas unidades administrativas, excepcionados os casos em que necessário for o sigilo, garantindo o re</w:t>
      </w:r>
      <w:r>
        <w:rPr>
          <w:rFonts w:ascii="Calibri" w:hAnsi="Calibri"/>
          <w:sz w:val="22"/>
          <w:szCs w:val="22"/>
        </w:rPr>
        <w:t>torno dessas providências a partir de sua intervenção e dos resultados alcançados;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- elaborar e divulgar, trimestralmente e anualmente, relatórios de suas atividades, bem como, permanentemente, os serviços da Ouvidoria da Câmara Municipal junto ao públic</w:t>
      </w:r>
      <w:r>
        <w:rPr>
          <w:rFonts w:ascii="Calibri" w:hAnsi="Calibri"/>
          <w:sz w:val="22"/>
          <w:szCs w:val="22"/>
        </w:rPr>
        <w:t>o, para conhecimento, utilização continuada e ciência dos resultados alcançados;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 - promover a realização de pesquisas, seminários e cursos sobre assuntos relativos ao </w:t>
      </w:r>
      <w:r>
        <w:rPr>
          <w:rFonts w:ascii="Calibri" w:hAnsi="Calibri"/>
          <w:sz w:val="22"/>
          <w:szCs w:val="22"/>
        </w:rPr>
        <w:lastRenderedPageBreak/>
        <w:t>exercício dos direitos e deveres do cidadão perante a administração pública;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 - dar</w:t>
      </w:r>
      <w:r>
        <w:rPr>
          <w:rFonts w:ascii="Calibri" w:hAnsi="Calibri"/>
          <w:sz w:val="22"/>
          <w:szCs w:val="22"/>
        </w:rPr>
        <w:t xml:space="preserve"> prosseguimento às manifestações recebidas.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VIII - organizar e manter atualizado arquivo da documentação relativa às denúncias, reclamações e sugestões recebidas;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IX - informar o cidadão ou entidade qual o órgão a que deverá dirigir-se, quando manifestaçõe</w:t>
      </w:r>
      <w:r>
        <w:rPr>
          <w:rFonts w:ascii="Calibri" w:hAnsi="Calibri"/>
          <w:sz w:val="22"/>
          <w:szCs w:val="22"/>
        </w:rPr>
        <w:t>s não forem de competência da Ouvidoria Legislativa Municipal;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 - acompanhar as manifestações encaminhadas pela sociedade civil à Câmara Municipal;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XI – conhecer as opiniões e necessidades da sociedade para sugerir à Câmara Municipal as mudanças por ela a</w:t>
      </w:r>
      <w:r>
        <w:rPr>
          <w:rFonts w:ascii="Calibri" w:hAnsi="Calibri"/>
          <w:sz w:val="22"/>
          <w:szCs w:val="22"/>
        </w:rPr>
        <w:t>spiradas;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XII - auxiliar na divulgação dos trabalhos da Câmara Municipal, dando conhecimento aos cidadãos dos canais de comunicação e dos mecanismos de participação disponíveis;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1º. A Ouvidoria manterá sigilo sobre denúncias e reclamações que receber, be</w:t>
      </w:r>
      <w:r>
        <w:rPr>
          <w:rFonts w:ascii="Calibri" w:hAnsi="Calibri"/>
          <w:sz w:val="22"/>
          <w:szCs w:val="22"/>
        </w:rPr>
        <w:t>m como sobre sua fonte, assegurando a proteção dos denunciantes, quando requerer o caso ou assim for solicitado.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2º. A Ouvidoria Legislativa Municipal responderá em até 20 (vinte) dias, a contar do seu recebimento, as mensagens que lhes forem enviadas, s</w:t>
      </w:r>
      <w:r>
        <w:rPr>
          <w:rFonts w:ascii="Calibri" w:hAnsi="Calibri"/>
          <w:sz w:val="22"/>
          <w:szCs w:val="22"/>
        </w:rPr>
        <w:t>endo que esse prazo será de 30 (trinta) dias quando a demanda necessitar de encaminhamentos ou respostas de outros órgãos. Admitir-se-á prorrogação dos prazos, por igual período, quando a complexidade do caso assim o exigir.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5º. Compete ao Ouvidor: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– Exercer a função de representante do cidadão junto a instituição, com independência e autonomia, respondendo às demandas da sociedade e agilizando a remessa de informações de interesse do usuário ao seu destinatário;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Facilitar ao máximo o acesso do</w:t>
      </w:r>
      <w:r>
        <w:rPr>
          <w:rFonts w:ascii="Calibri" w:hAnsi="Calibri"/>
          <w:sz w:val="22"/>
          <w:szCs w:val="22"/>
        </w:rPr>
        <w:t xml:space="preserve"> usuário ao serviço de Ouvidoria, desburocratizando seus procedimentos;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 Encaminhar as questões ou sugestões apresentadas à área competente acompanhando sua apreciação;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 – Propor a correção de erros, omissões ou abusos cometidos no atendimento aos u</w:t>
      </w:r>
      <w:r>
        <w:rPr>
          <w:rFonts w:ascii="Calibri" w:hAnsi="Calibri"/>
          <w:sz w:val="22"/>
          <w:szCs w:val="22"/>
        </w:rPr>
        <w:t>suários, visando o adequado atendimento à sociedade e a otimização da imagem institucional;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– Identificar e sugerir mudanças nos fluxos de documentos que devem ser deixados a disposição do público;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 – Realizar estudos analíticos dos casos críticos, </w:t>
      </w:r>
      <w:r>
        <w:rPr>
          <w:rFonts w:ascii="Calibri" w:hAnsi="Calibri"/>
          <w:sz w:val="22"/>
          <w:szCs w:val="22"/>
        </w:rPr>
        <w:t>conforme histórico de solicitações e de reclamações;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 – Realizar a guarda de toda a informação requerida e disponibilizada aos usuários do serviço da Ouvidoria;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VIII - Requisitar, na execução de suas atribuições, documentos diretamente aos jurisdicionad</w:t>
      </w:r>
      <w:r>
        <w:rPr>
          <w:rFonts w:ascii="Calibri" w:hAnsi="Calibri"/>
          <w:sz w:val="22"/>
          <w:szCs w:val="22"/>
        </w:rPr>
        <w:t>os, bem como solicitar informações visando a elucidar as demandas recebidas.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6º. São procedimentos a serem observados pelo Ouvidor, dentre outros previstos nesta ou em outras normas: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Solicitar informações e documentos à instituição;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Particip</w:t>
      </w:r>
      <w:r>
        <w:rPr>
          <w:rFonts w:ascii="Calibri" w:hAnsi="Calibri"/>
          <w:sz w:val="22"/>
          <w:szCs w:val="22"/>
        </w:rPr>
        <w:t>ar de reuniões ao qual manifestar interesse e relevância ao desempenho da função;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 solicitar esclarecimentos dos servidores e departamentos responsáveis, para atender as demandas;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IV – buscar eventuais causas de deficiência do serviço da instituição, </w:t>
      </w:r>
      <w:r>
        <w:rPr>
          <w:rFonts w:ascii="Calibri" w:hAnsi="Calibri"/>
          <w:sz w:val="22"/>
          <w:szCs w:val="22"/>
        </w:rPr>
        <w:t>propondo modificações nos procedimentos para melhoria permanente;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– responder às demandas da sociedade, dando ao cidadão uma resposta à questão apresentada, da forma mais célere possível, com clareza e objetividade;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– Criar canal no sítio eletrônico d</w:t>
      </w:r>
      <w:r>
        <w:rPr>
          <w:rFonts w:ascii="Calibri" w:hAnsi="Calibri"/>
          <w:sz w:val="22"/>
          <w:szCs w:val="22"/>
        </w:rPr>
        <w:t xml:space="preserve">a Câmara de Vereadores para receber as críticas, </w:t>
      </w:r>
      <w:r>
        <w:rPr>
          <w:rFonts w:ascii="Calibri" w:hAnsi="Calibri"/>
          <w:sz w:val="22"/>
          <w:szCs w:val="22"/>
        </w:rPr>
        <w:lastRenderedPageBreak/>
        <w:t>sugestões, elogios e demais manifestações da sociedade;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 – Atender o cidadão com cortesia e respeito, afastando-se de qualquer discriminação ou pré-julgamento;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VIII – Resguardar o sigilo das demandas;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IX </w:t>
      </w:r>
      <w:r>
        <w:rPr>
          <w:rFonts w:ascii="Calibri" w:hAnsi="Calibri"/>
          <w:sz w:val="22"/>
          <w:szCs w:val="22"/>
        </w:rPr>
        <w:t>– Elaborar anualmente estatísticas e relatorias acerca das demandas apresentadas junto a Ouvidoria e suas demais atividades;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 – Contribuir para a disseminação das formas de participação popular no acompanhamento e na fiscalização da instituição.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1º. Os </w:t>
      </w:r>
      <w:r>
        <w:rPr>
          <w:rFonts w:ascii="Calibri" w:hAnsi="Calibri"/>
          <w:sz w:val="22"/>
          <w:szCs w:val="22"/>
        </w:rPr>
        <w:t>órgãos internos da administração da Câmara Municipal terão prazo de até 15 (quinze) dias para responder às requisições e solicitações feitas pelo Ouvidor, prazo este que poderá ser prorrogado, a seu critério, em razão da complexidade do assunto.</w:t>
      </w: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2º. O nã</w:t>
      </w:r>
      <w:r>
        <w:rPr>
          <w:rFonts w:ascii="Calibri" w:hAnsi="Calibri"/>
          <w:sz w:val="22"/>
          <w:szCs w:val="22"/>
        </w:rPr>
        <w:t>o cumprimento do prazo previsto no parágrafo anterior deverá ser comunicado ao Presidente da Câmara Municipal.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7º. Qualquer pessoa, física ou jurídica, poderá demandar junto à Ouvidoria, sendo ao final da demanda informada sobre a solução dada ao pro</w:t>
      </w:r>
      <w:r>
        <w:rPr>
          <w:rFonts w:ascii="Calibri" w:hAnsi="Calibri"/>
          <w:sz w:val="22"/>
          <w:szCs w:val="22"/>
        </w:rPr>
        <w:t>blema, ficando assegurado o direito de à informação do seu andamento, quando solicitado.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8º. A Câmara Municipal de Getúlio Vargas instituirá um sistema de acesso a Ouvidoria para o cidadão, através de </w:t>
      </w:r>
      <w:r>
        <w:rPr>
          <w:rFonts w:ascii="Calibri" w:hAnsi="Calibri"/>
          <w:i/>
          <w:iCs/>
          <w:sz w:val="22"/>
          <w:szCs w:val="22"/>
        </w:rPr>
        <w:t>web site</w:t>
      </w:r>
      <w:r>
        <w:rPr>
          <w:rFonts w:ascii="Calibri" w:hAnsi="Calibri"/>
          <w:sz w:val="22"/>
          <w:szCs w:val="22"/>
        </w:rPr>
        <w:t>, endereço eletrônico, número telefônico,</w:t>
      </w:r>
      <w:r>
        <w:rPr>
          <w:rFonts w:ascii="Calibri" w:hAnsi="Calibri"/>
          <w:sz w:val="22"/>
          <w:szCs w:val="22"/>
        </w:rPr>
        <w:t xml:space="preserve"> endereço postal ou qualquer outro meio.  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9º. A Mesa Diretora da Câmara Municipal assegurará à Ouvidoria apoio físico, técnico e administrativo necessários ao desempenho de suas atividades.</w:t>
      </w: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10. Esta lei entrará em vigor na data de sua publicaç</w:t>
      </w:r>
      <w:r>
        <w:rPr>
          <w:rFonts w:ascii="Calibri" w:hAnsi="Calibri"/>
          <w:sz w:val="22"/>
          <w:szCs w:val="22"/>
        </w:rPr>
        <w:t>ão, revogadas as disposições em contrário.</w:t>
      </w:r>
    </w:p>
    <w:p w:rsidR="009026C6" w:rsidRDefault="009026C6">
      <w:pPr>
        <w:pStyle w:val="Textbodyindent"/>
        <w:ind w:left="5669" w:right="1134"/>
        <w:jc w:val="both"/>
        <w:rPr>
          <w:rFonts w:ascii="Calibri" w:hAnsi="Calibri"/>
        </w:rPr>
      </w:pPr>
    </w:p>
    <w:p w:rsidR="009026C6" w:rsidRDefault="009026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026C6" w:rsidRDefault="004B63D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14 de junho de 2017.</w:t>
      </w:r>
    </w:p>
    <w:p w:rsidR="009026C6" w:rsidRDefault="009026C6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26C6" w:rsidRDefault="009026C6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26C6" w:rsidRDefault="009026C6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26C6" w:rsidRDefault="004B63D4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9026C6" w:rsidRDefault="004B63D4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9026C6" w:rsidRDefault="009026C6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9026C6" w:rsidRDefault="009026C6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9026C6" w:rsidRDefault="004B63D4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9026C6" w:rsidRDefault="009026C6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9026C6" w:rsidRDefault="009026C6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9026C6" w:rsidRDefault="004B63D4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9026C6" w:rsidRDefault="004B63D4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9026C6" w:rsidRDefault="009026C6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9026C6" w:rsidRDefault="009026C6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026C6" w:rsidRDefault="009026C6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026C6" w:rsidRDefault="009026C6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026C6" w:rsidRDefault="004B63D4">
      <w:pPr>
        <w:pStyle w:val="Standard"/>
        <w:ind w:left="7937" w:right="113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sectPr w:rsidR="009026C6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D4" w:rsidRDefault="004B63D4">
      <w:pPr>
        <w:rPr>
          <w:rFonts w:hint="eastAsia"/>
        </w:rPr>
      </w:pPr>
      <w:r>
        <w:separator/>
      </w:r>
    </w:p>
  </w:endnote>
  <w:endnote w:type="continuationSeparator" w:id="0">
    <w:p w:rsidR="004B63D4" w:rsidRDefault="004B63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AD" w:rsidRDefault="004B63D4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D4" w:rsidRDefault="004B63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63D4" w:rsidRDefault="004B63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AD" w:rsidRDefault="004B63D4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2556A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2556AD" w:rsidRDefault="004B63D4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2556AD" w:rsidRDefault="004B63D4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2556AD" w:rsidRDefault="004B63D4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2556AD" w:rsidRDefault="004B63D4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B6F49"/>
    <w:multiLevelType w:val="multilevel"/>
    <w:tmpl w:val="20AA92CA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88F6790"/>
    <w:multiLevelType w:val="multilevel"/>
    <w:tmpl w:val="96967DCA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26C6"/>
    <w:rsid w:val="003055F0"/>
    <w:rsid w:val="004B63D4"/>
    <w:rsid w:val="009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55F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5F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55F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5F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16632</TotalTime>
  <Pages>3</Pages>
  <Words>1290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2017-06-19T11:07:00Z</cp:lastPrinted>
  <dcterms:created xsi:type="dcterms:W3CDTF">2017-06-22T19:48:00Z</dcterms:created>
  <dcterms:modified xsi:type="dcterms:W3CDTF">2017-06-22T19:49:00Z</dcterms:modified>
</cp:coreProperties>
</file>