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E1" w:rsidRDefault="00D830AC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5.243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20 DE ABRIL DE 2017</w:t>
      </w:r>
    </w:p>
    <w:p w:rsidR="00CE57E1" w:rsidRDefault="00CE57E1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E57E1" w:rsidRDefault="00D830AC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Altera o vencimento mensal dos Cargos em Comissão da Câmara de Vereadores de Getúlio Vargas/RS.</w:t>
      </w:r>
    </w:p>
    <w:p w:rsidR="00CE57E1" w:rsidRDefault="00CE57E1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CE57E1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D830AC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rovou e ele sanciona e promulga a seguinte Lei:</w:t>
      </w: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estabelecido os seguintes vencimentos mensais aos Cargos em Comissão de Chefe de Gabinete da Presidência e de Diretor Administrativo, da Câmara de Vereadores de Getúlio Vargas/RS, que vigorarão a</w:t>
      </w:r>
      <w:r>
        <w:rPr>
          <w:rFonts w:ascii="Calibri" w:hAnsi="Calibri"/>
          <w:color w:val="000000"/>
          <w:sz w:val="22"/>
          <w:szCs w:val="22"/>
        </w:rPr>
        <w:t xml:space="preserve"> partir de 1º de maio de 2017:</w:t>
      </w: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– Chefe de Gabinete da Presidência da Câmara de Vereadores, criado pela Lei Municipal n.° 3.133, de 25 de junho de 2002: Vencimento mensal – R$ 1.570,00 (um mil, quinhentos e setenta reais);</w:t>
      </w: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II – Diretor Administrativo da </w:t>
      </w:r>
      <w:r>
        <w:rPr>
          <w:rFonts w:ascii="Calibri" w:hAnsi="Calibri"/>
          <w:color w:val="000000"/>
          <w:sz w:val="22"/>
          <w:szCs w:val="22"/>
        </w:rPr>
        <w:t>Câmara de Vereadores, criado pelo Decreto Legislativo n.° 001/97, de 18 de março de 1997 e Lei Municipal n.° 4.517, de 27 de julho de 2012: Vencimento mensal – R$ 4.120,00 (quatro mil, cento e vinte reais);</w:t>
      </w: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As despesas decorrentes da execução desta</w:t>
      </w:r>
      <w:r>
        <w:rPr>
          <w:rFonts w:ascii="Calibri" w:hAnsi="Calibri"/>
          <w:color w:val="000000"/>
          <w:sz w:val="22"/>
          <w:szCs w:val="22"/>
        </w:rPr>
        <w:t xml:space="preserve"> Lei correrão à conta de dotação orçamentária própria.</w:t>
      </w: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Esta Lei entra em vigor na data de 1º de maio de 2017, revogando as disposições em contrário.</w:t>
      </w:r>
    </w:p>
    <w:p w:rsidR="00CE57E1" w:rsidRDefault="00D830AC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20</w:t>
      </w:r>
      <w:r>
        <w:rPr>
          <w:rFonts w:ascii="Calibri" w:hAnsi="Calibri"/>
          <w:color w:val="000000"/>
          <w:sz w:val="22"/>
          <w:szCs w:val="22"/>
        </w:rPr>
        <w:t xml:space="preserve"> de abril de 2017.</w:t>
      </w:r>
    </w:p>
    <w:p w:rsidR="00CE57E1" w:rsidRDefault="00CE57E1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CE57E1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CE57E1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E57E1" w:rsidRDefault="00D830AC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CE57E1" w:rsidRDefault="00D830A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CE57E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CE57E1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CE57E1" w:rsidRDefault="00D830AC">
      <w:pPr>
        <w:pStyle w:val="Standard"/>
        <w:ind w:left="7937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Esta Lei foi afixada no Mural da Prefeitura, onde são divulgados os atos oficiais, de ___/___/_____ a ___/___/_____.</w:t>
      </w:r>
    </w:p>
    <w:sectPr w:rsidR="00CE57E1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AC" w:rsidRDefault="00D830AC">
      <w:pPr>
        <w:rPr>
          <w:rFonts w:hint="eastAsia"/>
        </w:rPr>
      </w:pPr>
      <w:r>
        <w:separator/>
      </w:r>
    </w:p>
  </w:endnote>
  <w:endnote w:type="continuationSeparator" w:id="0">
    <w:p w:rsidR="00D830AC" w:rsidRDefault="00D830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F3" w:rsidRDefault="00D830AC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AC" w:rsidRDefault="00D830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830AC" w:rsidRDefault="00D830A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F3" w:rsidRDefault="00D830A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322F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322F3" w:rsidRDefault="00D830A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322F3" w:rsidRDefault="00D830A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322F3" w:rsidRDefault="00D830A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322F3" w:rsidRDefault="00D830AC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1DEA"/>
    <w:multiLevelType w:val="multilevel"/>
    <w:tmpl w:val="86D6449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9DE1602"/>
    <w:multiLevelType w:val="multilevel"/>
    <w:tmpl w:val="F844ED6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57E1"/>
    <w:rsid w:val="00833837"/>
    <w:rsid w:val="00CE57E1"/>
    <w:rsid w:val="00D8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83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83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83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83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2017-04-28T10:22:00Z</cp:lastPrinted>
  <dcterms:created xsi:type="dcterms:W3CDTF">2017-05-16T19:11:00Z</dcterms:created>
  <dcterms:modified xsi:type="dcterms:W3CDTF">2017-05-16T19:11:00Z</dcterms:modified>
</cp:coreProperties>
</file>