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bookmarkStart w:id="0" w:name="page1"/>
    <w:bookmarkEnd w:id="0"/>
    <w:p>
      <w:pPr>
        <w:jc w:val="center"/>
        <w:ind w:right="-959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762635</wp:posOffset>
            </wp:positionH>
            <wp:positionV relativeFrom="page">
              <wp:posOffset>611505</wp:posOffset>
            </wp:positionV>
            <wp:extent cx="675640" cy="26733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640" cy="267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drawing>
          <wp:anchor simplePos="0" relativeHeight="251657728" behindDoc="1" locked="0" layoutInCell="0" allowOverlap="1">
            <wp:simplePos x="0" y="0"/>
            <wp:positionH relativeFrom="page">
              <wp:posOffset>6510655</wp:posOffset>
            </wp:positionH>
            <wp:positionV relativeFrom="page">
              <wp:posOffset>589915</wp:posOffset>
            </wp:positionV>
            <wp:extent cx="940435" cy="104394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0435" cy="10439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t>PREFEITURA MUNICIPAL DE GETÚLIO VARGAS</w:t>
      </w:r>
    </w:p>
    <w:p>
      <w:pPr>
        <w:spacing w:after="0" w:line="2" w:lineRule="exact"/>
        <w:rPr>
          <w:sz w:val="24"/>
          <w:szCs w:val="24"/>
          <w:color w:val="auto"/>
        </w:rPr>
      </w:pPr>
    </w:p>
    <w:p>
      <w:pPr>
        <w:jc w:val="center"/>
        <w:ind w:right="-1099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Av Firmino Girardello, 85</w:t>
      </w:r>
    </w:p>
    <w:p>
      <w:pPr>
        <w:spacing w:after="0" w:line="20" w:lineRule="exact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-283845</wp:posOffset>
            </wp:positionH>
            <wp:positionV relativeFrom="paragraph">
              <wp:posOffset>-133350</wp:posOffset>
            </wp:positionV>
            <wp:extent cx="936625" cy="655955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6625" cy="6559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jc w:val="center"/>
        <w:ind w:left="1460"/>
        <w:spacing w:after="0" w:line="235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Getúlio Vargas - Rio grande do Sul - 99900-000</w:t>
      </w:r>
    </w:p>
    <w:p>
      <w:pPr>
        <w:jc w:val="center"/>
        <w:ind w:right="-1099"/>
        <w:spacing w:after="0"/>
        <w:tabs>
          <w:tab w:leader="none" w:pos="160" w:val="left"/>
        </w:tabs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Fone (54) 3341-1600</w:t>
      </w:r>
      <w:r>
        <w:rPr>
          <w:sz w:val="20"/>
          <w:szCs w:val="20"/>
          <w:color w:val="auto"/>
        </w:rPr>
        <w:tab/>
      </w:r>
      <w:r>
        <w:rPr>
          <w:rFonts w:ascii="Times New Roman" w:cs="Times New Roman" w:eastAsia="Times New Roman" w:hAnsi="Times New Roman"/>
          <w:sz w:val="23"/>
          <w:szCs w:val="23"/>
          <w:color w:val="auto"/>
        </w:rPr>
        <w:t>E-mail: administracao@pmgv.rs.gov.br</w:t>
      </w:r>
    </w:p>
    <w:p>
      <w:pPr>
        <w:spacing w:after="0" w:line="60" w:lineRule="exact"/>
        <w:rPr>
          <w:sz w:val="24"/>
          <w:szCs w:val="24"/>
          <w:color w:val="auto"/>
        </w:rPr>
      </w:pPr>
    </w:p>
    <w:p>
      <w:pPr>
        <w:ind w:left="400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Site: www.pmgv.rs.gov.br</w:t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396" w:lineRule="exact"/>
        <w:rPr>
          <w:sz w:val="24"/>
          <w:szCs w:val="24"/>
          <w:color w:val="auto"/>
        </w:rPr>
      </w:pPr>
    </w:p>
    <w:p>
      <w:pPr>
        <w:jc w:val="center"/>
        <w:ind w:right="-259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b w:val="1"/>
          <w:bCs w:val="1"/>
          <w:u w:val="single" w:color="auto"/>
          <w:color w:val="auto"/>
        </w:rPr>
        <w:t>LEI Nº 5.754 DE 23 DE DEZEMBRO DE 2020</w:t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348" w:lineRule="exact"/>
        <w:rPr>
          <w:sz w:val="24"/>
          <w:szCs w:val="24"/>
          <w:color w:val="auto"/>
        </w:rPr>
      </w:pPr>
    </w:p>
    <w:p>
      <w:pPr>
        <w:ind w:left="5240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1"/>
          <w:szCs w:val="21"/>
          <w:color w:val="auto"/>
        </w:rPr>
        <w:t>Autoriza o Poder Executivo Municipal a firmar</w:t>
      </w:r>
    </w:p>
    <w:p>
      <w:pPr>
        <w:ind w:left="5240"/>
        <w:spacing w:after="0"/>
        <w:tabs>
          <w:tab w:leader="none" w:pos="8680" w:val="left"/>
        </w:tabs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Parceria  via  Termo  de  Fomento,</w:t>
        <w:tab/>
        <w:t>com  o</w:t>
      </w:r>
    </w:p>
    <w:p>
      <w:pPr>
        <w:ind w:left="5240"/>
        <w:spacing w:after="0"/>
        <w:tabs>
          <w:tab w:leader="none" w:pos="6400" w:val="left"/>
          <w:tab w:leader="none" w:pos="6700" w:val="left"/>
          <w:tab w:leader="none" w:pos="7700" w:val="left"/>
          <w:tab w:leader="none" w:pos="9000" w:val="left"/>
        </w:tabs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CONSEPRO</w:t>
        <w:tab/>
        <w:t>–</w:t>
        <w:tab/>
        <w:t>Conselho</w:t>
        <w:tab/>
        <w:t>Comunitário</w:t>
        <w:tab/>
        <w:t>Pró</w:t>
      </w:r>
    </w:p>
    <w:p>
      <w:pPr>
        <w:ind w:left="5240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Segurança  Pública,  visando  a  manutenção</w:t>
      </w:r>
    </w:p>
    <w:p>
      <w:pPr>
        <w:ind w:left="5240"/>
        <w:spacing w:after="0"/>
        <w:tabs>
          <w:tab w:leader="none" w:pos="6220" w:val="left"/>
          <w:tab w:leader="none" w:pos="6560" w:val="left"/>
          <w:tab w:leader="none" w:pos="7720" w:val="left"/>
          <w:tab w:leader="none" w:pos="8180" w:val="left"/>
          <w:tab w:leader="none" w:pos="9100" w:val="left"/>
        </w:tabs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corretiva</w:t>
        <w:tab/>
        <w:t>e</w:t>
        <w:tab/>
        <w:t>preventiva</w:t>
        <w:tab/>
        <w:t>do</w:t>
        <w:tab/>
        <w:t>Sistema</w:t>
      </w:r>
      <w:r>
        <w:rPr>
          <w:sz w:val="20"/>
          <w:szCs w:val="20"/>
          <w:color w:val="auto"/>
        </w:rPr>
        <w:tab/>
      </w:r>
      <w:r>
        <w:rPr>
          <w:rFonts w:ascii="Calibri" w:cs="Calibri" w:eastAsia="Calibri" w:hAnsi="Calibri"/>
          <w:sz w:val="21"/>
          <w:szCs w:val="21"/>
          <w:color w:val="auto"/>
        </w:rPr>
        <w:t>de</w:t>
      </w:r>
    </w:p>
    <w:p>
      <w:pPr>
        <w:ind w:left="5240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Videomonitoramento urbano.</w:t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386" w:lineRule="exact"/>
        <w:rPr>
          <w:sz w:val="24"/>
          <w:szCs w:val="24"/>
          <w:color w:val="auto"/>
        </w:rPr>
      </w:pPr>
    </w:p>
    <w:p>
      <w:pPr>
        <w:jc w:val="both"/>
        <w:ind w:left="240" w:firstLine="1745"/>
        <w:spacing w:after="0" w:line="224" w:lineRule="auto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ELGIDO PASA, Vice-Prefeito em exercício de Getúlio Vargas, Estado do Rio Grande do Sul, faz saber que a Câmara Municipal de Vereadores aprovou e ele sanciona a promulga a seguinte Lei:</w:t>
      </w:r>
    </w:p>
    <w:p>
      <w:pPr>
        <w:spacing w:after="0" w:line="52" w:lineRule="exact"/>
        <w:rPr>
          <w:sz w:val="24"/>
          <w:szCs w:val="24"/>
          <w:color w:val="auto"/>
        </w:rPr>
      </w:pPr>
    </w:p>
    <w:p>
      <w:pPr>
        <w:jc w:val="both"/>
        <w:ind w:left="240" w:firstLine="1694"/>
        <w:spacing w:after="0" w:line="232" w:lineRule="auto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Art. 1º Fica o Poder Executivo Municipal autorizado a firmar Parceria via Termo de Fomento com o CONSEPRO – Conselho Comunitário Pró Segurança Pública, inscrito no CNPJ sob nº 92.454.008/0001-46, visando a manutenção corretiva e preventiva do Sistema de Videomonitoramento urbano – Programa Cidade Segura, tendo em vista o interesse público e recíproco do Município de Getúlio Vargas e da Organização da Sociedade Civil, cujo termo observará as diretrizes constantes na Lei Federal nº 13.019/2014.</w:t>
      </w:r>
    </w:p>
    <w:p>
      <w:pPr>
        <w:spacing w:after="0" w:line="275" w:lineRule="exact"/>
        <w:rPr>
          <w:sz w:val="24"/>
          <w:szCs w:val="24"/>
          <w:color w:val="auto"/>
        </w:rPr>
      </w:pPr>
    </w:p>
    <w:p>
      <w:pPr>
        <w:ind w:left="1960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Art. 2º Como prestação do Município de Getúlio Vargas, o mesmo repassará ao</w:t>
      </w:r>
    </w:p>
    <w:p>
      <w:pPr>
        <w:ind w:left="260"/>
        <w:spacing w:after="0" w:line="238" w:lineRule="auto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CONSEPRO – Conselho Comunitário Pró Segurança Pública, importâncias mensais, conforme Plano de</w:t>
      </w:r>
    </w:p>
    <w:p>
      <w:pPr>
        <w:ind w:left="260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Trabalho anexo.</w:t>
      </w:r>
    </w:p>
    <w:p>
      <w:pPr>
        <w:spacing w:after="0" w:line="269" w:lineRule="exact"/>
        <w:rPr>
          <w:sz w:val="24"/>
          <w:szCs w:val="24"/>
          <w:color w:val="auto"/>
        </w:rPr>
      </w:pPr>
    </w:p>
    <w:p>
      <w:pPr>
        <w:ind w:left="1940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Art.3º O Termo de Fomento terá vigência de janeiro de 2021 a dezembro de 2021.</w:t>
      </w:r>
    </w:p>
    <w:p>
      <w:pPr>
        <w:spacing w:after="0" w:line="318" w:lineRule="exact"/>
        <w:rPr>
          <w:sz w:val="24"/>
          <w:szCs w:val="24"/>
          <w:color w:val="auto"/>
        </w:rPr>
      </w:pPr>
    </w:p>
    <w:p>
      <w:pPr>
        <w:jc w:val="both"/>
        <w:ind w:left="260" w:firstLine="1711"/>
        <w:spacing w:after="0" w:line="218" w:lineRule="auto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Art.4º As despesas decorrentes desta Lei correrão por conta de dotação orçamentária própria.</w:t>
      </w:r>
    </w:p>
    <w:p>
      <w:pPr>
        <w:spacing w:after="0" w:line="270" w:lineRule="exact"/>
        <w:rPr>
          <w:sz w:val="24"/>
          <w:szCs w:val="24"/>
          <w:color w:val="auto"/>
        </w:rPr>
      </w:pPr>
    </w:p>
    <w:p>
      <w:pPr>
        <w:ind w:left="2060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Art. 5º Esta Lei entrará em vigor na data de sua publicação.</w:t>
      </w:r>
    </w:p>
    <w:p>
      <w:pPr>
        <w:spacing w:after="0" w:line="267" w:lineRule="exact"/>
        <w:rPr>
          <w:sz w:val="24"/>
          <w:szCs w:val="24"/>
          <w:color w:val="auto"/>
        </w:rPr>
      </w:pPr>
    </w:p>
    <w:p>
      <w:pPr>
        <w:ind w:left="280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PREFEITURA MUNICIPAL DE GETÚLIO, 23 de dezembro de 2020.</w:t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307" w:lineRule="exact"/>
        <w:rPr>
          <w:sz w:val="24"/>
          <w:szCs w:val="24"/>
          <w:color w:val="auto"/>
        </w:rPr>
      </w:pPr>
    </w:p>
    <w:p>
      <w:pPr>
        <w:ind w:left="1960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ELGIDO PASA,</w:t>
      </w:r>
    </w:p>
    <w:p>
      <w:pPr>
        <w:ind w:left="1960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Vice-Prefeito em exercício.</w:t>
      </w:r>
    </w:p>
    <w:p>
      <w:pPr>
        <w:spacing w:after="0" w:line="252" w:lineRule="exact"/>
        <w:rPr>
          <w:sz w:val="24"/>
          <w:szCs w:val="24"/>
          <w:color w:val="auto"/>
        </w:rPr>
      </w:pPr>
    </w:p>
    <w:p>
      <w:pPr>
        <w:ind w:left="260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Registre-se e Publique-se.</w:t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307" w:lineRule="exact"/>
        <w:rPr>
          <w:sz w:val="24"/>
          <w:szCs w:val="24"/>
          <w:color w:val="auto"/>
        </w:rPr>
      </w:pPr>
    </w:p>
    <w:p>
      <w:pPr>
        <w:ind w:left="1960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ROSANE F. C. CADORIN,</w:t>
      </w:r>
    </w:p>
    <w:p>
      <w:pPr>
        <w:ind w:left="1960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Secretária de Administração.</w:t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359" w:lineRule="exact"/>
        <w:rPr>
          <w:sz w:val="24"/>
          <w:szCs w:val="24"/>
          <w:color w:val="auto"/>
        </w:rPr>
      </w:pPr>
    </w:p>
    <w:p>
      <w:pPr>
        <w:ind w:left="4800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18"/>
          <w:szCs w:val="18"/>
          <w:color w:val="auto"/>
        </w:rPr>
        <w:t>Esta  Lei  foi  afixada  no  Mural  da  Prefeitura,  onde  são</w:t>
      </w:r>
    </w:p>
    <w:p>
      <w:pPr>
        <w:spacing w:after="0" w:line="11" w:lineRule="exact"/>
        <w:rPr>
          <w:sz w:val="24"/>
          <w:szCs w:val="24"/>
          <w:color w:val="auto"/>
        </w:rPr>
      </w:pPr>
    </w:p>
    <w:p>
      <w:pPr>
        <w:ind w:left="4800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17"/>
          <w:szCs w:val="17"/>
          <w:color w:val="auto"/>
        </w:rPr>
        <w:t>divulgados os atos oficiais, por 15 dias a contar de 28/12/2020.</w:t>
      </w:r>
    </w:p>
    <w:p>
      <w:pPr>
        <w:sectPr>
          <w:pgSz w:w="11900" w:h="16840" w:orient="portrait"/>
          <w:cols w:equalWidth="0" w:num="1">
            <w:col w:w="9340"/>
          </w:cols>
          <w:pgMar w:left="1440" w:top="969" w:right="1120" w:bottom="716" w:gutter="0" w:footer="0" w:header="0"/>
        </w:sectPr>
      </w:pPr>
    </w:p>
    <w:bookmarkStart w:id="1" w:name="page2"/>
    <w:bookmarkEnd w:id="1"/>
    <w:p>
      <w:pPr>
        <w:jc w:val="center"/>
        <w:ind w:right="-959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762635</wp:posOffset>
            </wp:positionH>
            <wp:positionV relativeFrom="page">
              <wp:posOffset>611505</wp:posOffset>
            </wp:positionV>
            <wp:extent cx="675640" cy="267335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640" cy="267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drawing>
          <wp:anchor simplePos="0" relativeHeight="251657728" behindDoc="1" locked="0" layoutInCell="0" allowOverlap="1">
            <wp:simplePos x="0" y="0"/>
            <wp:positionH relativeFrom="page">
              <wp:posOffset>6510655</wp:posOffset>
            </wp:positionH>
            <wp:positionV relativeFrom="page">
              <wp:posOffset>589915</wp:posOffset>
            </wp:positionV>
            <wp:extent cx="940435" cy="104394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0435" cy="10439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t>PREFEITURA MUNICIPAL DE GETÚLIO VARGAS</w:t>
      </w:r>
    </w:p>
    <w:p>
      <w:pPr>
        <w:spacing w:after="0" w:line="2" w:lineRule="exact"/>
        <w:rPr>
          <w:sz w:val="20"/>
          <w:szCs w:val="20"/>
          <w:color w:val="auto"/>
        </w:rPr>
      </w:pPr>
    </w:p>
    <w:p>
      <w:pPr>
        <w:jc w:val="center"/>
        <w:ind w:right="-1099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Av Firmino Girardello, 85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-283845</wp:posOffset>
            </wp:positionH>
            <wp:positionV relativeFrom="paragraph">
              <wp:posOffset>-133350</wp:posOffset>
            </wp:positionV>
            <wp:extent cx="936625" cy="655955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6625" cy="6559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jc w:val="center"/>
        <w:ind w:left="1460"/>
        <w:spacing w:after="0" w:line="235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Getúlio Vargas - Rio grande do Sul - 99900-000</w:t>
      </w:r>
    </w:p>
    <w:p>
      <w:pPr>
        <w:jc w:val="center"/>
        <w:ind w:right="-1099"/>
        <w:spacing w:after="0"/>
        <w:tabs>
          <w:tab w:leader="none" w:pos="160" w:val="left"/>
        </w:tabs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Fone (54) 3341-1600</w:t>
      </w:r>
      <w:r>
        <w:rPr>
          <w:sz w:val="20"/>
          <w:szCs w:val="20"/>
          <w:color w:val="auto"/>
        </w:rPr>
        <w:tab/>
      </w:r>
      <w:r>
        <w:rPr>
          <w:rFonts w:ascii="Times New Roman" w:cs="Times New Roman" w:eastAsia="Times New Roman" w:hAnsi="Times New Roman"/>
          <w:sz w:val="23"/>
          <w:szCs w:val="23"/>
          <w:color w:val="auto"/>
        </w:rPr>
        <w:t>E-mail: administracao@pmgv.rs.gov.br</w:t>
      </w:r>
    </w:p>
    <w:p>
      <w:pPr>
        <w:spacing w:after="0" w:line="60" w:lineRule="exact"/>
        <w:rPr>
          <w:sz w:val="20"/>
          <w:szCs w:val="20"/>
          <w:color w:val="auto"/>
        </w:rPr>
      </w:pPr>
    </w:p>
    <w:p>
      <w:pPr>
        <w:ind w:left="400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Site: www.pmgv.rs.gov.br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99" w:lineRule="exact"/>
        <w:rPr>
          <w:sz w:val="20"/>
          <w:szCs w:val="20"/>
          <w:color w:val="auto"/>
        </w:rPr>
      </w:pPr>
    </w:p>
    <w:p>
      <w:pPr>
        <w:ind w:left="260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0"/>
          <w:szCs w:val="20"/>
          <w:b w:val="1"/>
          <w:bCs w:val="1"/>
          <w:color w:val="auto"/>
        </w:rPr>
        <w:t>Projeto de Lei nº 143/2020 – Exposição de Motivos.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00" w:lineRule="exact"/>
        <w:rPr>
          <w:sz w:val="20"/>
          <w:szCs w:val="20"/>
          <w:color w:val="auto"/>
        </w:rPr>
      </w:pPr>
    </w:p>
    <w:p>
      <w:pPr>
        <w:ind w:left="6000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19"/>
          <w:szCs w:val="19"/>
          <w:color w:val="auto"/>
        </w:rPr>
        <w:t>Getúlio Vargas, 18 de dezembro de 2020.</w:t>
      </w:r>
    </w:p>
    <w:p>
      <w:pPr>
        <w:spacing w:after="0" w:line="243" w:lineRule="exact"/>
        <w:rPr>
          <w:sz w:val="20"/>
          <w:szCs w:val="20"/>
          <w:color w:val="auto"/>
        </w:rPr>
      </w:pPr>
    </w:p>
    <w:p>
      <w:pPr>
        <w:ind w:left="1960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0"/>
          <w:szCs w:val="20"/>
          <w:color w:val="auto"/>
        </w:rPr>
        <w:t>Senhor Presidente,</w:t>
      </w:r>
    </w:p>
    <w:p>
      <w:pPr>
        <w:spacing w:after="0" w:line="291" w:lineRule="exact"/>
        <w:rPr>
          <w:sz w:val="20"/>
          <w:szCs w:val="20"/>
          <w:color w:val="auto"/>
        </w:rPr>
      </w:pPr>
    </w:p>
    <w:p>
      <w:pPr>
        <w:jc w:val="both"/>
        <w:ind w:left="260" w:firstLine="1697"/>
        <w:spacing w:after="0" w:line="350" w:lineRule="auto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0"/>
          <w:szCs w:val="20"/>
          <w:color w:val="auto"/>
        </w:rPr>
        <w:t>Pelo presente encaminhamos Projeto de Lei que autoriza o Poder Executivo Municipal a firmar Parceria, via Termo de Fomento com o CONSEPRO – Conselho Comunitário Pró Segurança Pública, inscrita no CNPJ sob nº 92.454.008/0001-46, visando a manutenção corretiva e preventiva do Sistema de Videomonitoramento urbano – Programa Cidade Segura, tendo em vista o interesse público e recíproco do Município de Getúlio Vargas e da Organização da Sociedade Civil, cujo termo observará as diretrizes constantes na Lei Federal nº 13.019/2014.</w:t>
      </w:r>
    </w:p>
    <w:p>
      <w:pPr>
        <w:spacing w:after="0" w:line="60" w:lineRule="exact"/>
        <w:rPr>
          <w:sz w:val="20"/>
          <w:szCs w:val="20"/>
          <w:color w:val="auto"/>
        </w:rPr>
      </w:pPr>
    </w:p>
    <w:p>
      <w:pPr>
        <w:jc w:val="both"/>
        <w:ind w:left="320" w:firstLine="1697"/>
        <w:spacing w:after="0" w:line="349" w:lineRule="auto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0"/>
          <w:szCs w:val="20"/>
          <w:color w:val="auto"/>
        </w:rPr>
        <w:t>Denota-se que o Projeto desenvolvido pela Entidade em conjunto com o Poder Público, visa as atividades voltadas ao interesse da comunidade. Tem como objetivo a manutenção preventiva e corretiva mensal em pontos de videomonitoramento urbano e da central de videomonitoramento de Getúlio Vargas/RS no Programa Cidade Segura, garantindo a continuidade e disponibilidade da atividade de videomonitoramento na cidade.</w:t>
      </w:r>
    </w:p>
    <w:p>
      <w:pPr>
        <w:spacing w:after="0" w:line="56" w:lineRule="exact"/>
        <w:rPr>
          <w:sz w:val="20"/>
          <w:szCs w:val="20"/>
          <w:color w:val="auto"/>
        </w:rPr>
      </w:pPr>
    </w:p>
    <w:p>
      <w:pPr>
        <w:jc w:val="both"/>
        <w:ind w:left="320" w:firstLine="1697"/>
        <w:spacing w:after="0" w:line="337" w:lineRule="auto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0"/>
          <w:szCs w:val="20"/>
          <w:color w:val="auto"/>
        </w:rPr>
        <w:t>Outrossim, a entidade já demonstrou experiência prévia na realização do objeto, o que permite concluir que esta possui capacidade para o desenvolvimento das atividades e metas propostas no Plano de Trabalho, conforme demonstram os documentos em anexo.</w:t>
      </w:r>
    </w:p>
    <w:p>
      <w:pPr>
        <w:spacing w:after="0" w:line="71" w:lineRule="exact"/>
        <w:rPr>
          <w:sz w:val="20"/>
          <w:szCs w:val="20"/>
          <w:color w:val="auto"/>
        </w:rPr>
      </w:pPr>
    </w:p>
    <w:p>
      <w:pPr>
        <w:jc w:val="both"/>
        <w:ind w:left="340" w:firstLine="1709"/>
        <w:spacing w:after="0" w:line="348" w:lineRule="auto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0"/>
          <w:szCs w:val="20"/>
          <w:color w:val="auto"/>
        </w:rPr>
        <w:t xml:space="preserve">Também está caracterizada a inviabilidade de competição, entre as organizações da Sociedade Civil, em razão da natureza singular do objeto da parceria, aplicando-se assim, o contido no artigo 31, </w:t>
      </w:r>
      <w:r>
        <w:rPr>
          <w:rFonts w:ascii="Calibri" w:cs="Calibri" w:eastAsia="Calibri" w:hAnsi="Calibri"/>
          <w:sz w:val="20"/>
          <w:szCs w:val="20"/>
          <w:i w:val="1"/>
          <w:iCs w:val="1"/>
          <w:color w:val="auto"/>
        </w:rPr>
        <w:t>caput</w:t>
      </w:r>
      <w:r>
        <w:rPr>
          <w:rFonts w:ascii="Calibri" w:cs="Calibri" w:eastAsia="Calibri" w:hAnsi="Calibri"/>
          <w:sz w:val="20"/>
          <w:szCs w:val="20"/>
          <w:color w:val="auto"/>
        </w:rPr>
        <w:t xml:space="preserve"> da Lei nº 13.019/14, alterada pela Lei nº 13.204/15, que prevê a inexigibilidade quanto ao chamamento público, na hipótese de inviabilidade de competição entre as organizações da Sociedade Civil, em razão da natureza singular do objeto da parceria.</w:t>
      </w:r>
    </w:p>
    <w:p>
      <w:pPr>
        <w:spacing w:after="0" w:line="27" w:lineRule="exact"/>
        <w:rPr>
          <w:sz w:val="20"/>
          <w:szCs w:val="20"/>
          <w:color w:val="auto"/>
        </w:rPr>
      </w:pPr>
    </w:p>
    <w:p>
      <w:pPr>
        <w:ind w:left="1940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19"/>
          <w:szCs w:val="19"/>
          <w:color w:val="auto"/>
        </w:rPr>
        <w:t>Contando com a aprovação dos Nobres Vereadores, desde já manifestamos nosso apreço e</w:t>
      </w:r>
    </w:p>
    <w:p>
      <w:pPr>
        <w:spacing w:after="0" w:line="123" w:lineRule="exact"/>
        <w:rPr>
          <w:sz w:val="20"/>
          <w:szCs w:val="20"/>
          <w:color w:val="auto"/>
        </w:rPr>
      </w:pPr>
    </w:p>
    <w:p>
      <w:pPr>
        <w:ind w:left="260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0"/>
          <w:szCs w:val="20"/>
          <w:color w:val="auto"/>
        </w:rPr>
        <w:t>consideração.</w:t>
      </w:r>
    </w:p>
    <w:p>
      <w:pPr>
        <w:spacing w:after="0" w:line="121" w:lineRule="exact"/>
        <w:rPr>
          <w:sz w:val="20"/>
          <w:szCs w:val="20"/>
          <w:color w:val="auto"/>
        </w:rPr>
      </w:pPr>
    </w:p>
    <w:p>
      <w:pPr>
        <w:ind w:left="1680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0"/>
          <w:szCs w:val="20"/>
          <w:color w:val="auto"/>
        </w:rPr>
        <w:t>Atenciosamente,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10" w:lineRule="exact"/>
        <w:rPr>
          <w:sz w:val="20"/>
          <w:szCs w:val="20"/>
          <w:color w:val="auto"/>
        </w:rPr>
      </w:pPr>
    </w:p>
    <w:p>
      <w:pPr>
        <w:ind w:left="2380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0"/>
          <w:szCs w:val="20"/>
          <w:color w:val="auto"/>
        </w:rPr>
        <w:t>ELGIDO PASA,</w:t>
      </w:r>
    </w:p>
    <w:p>
      <w:pPr>
        <w:spacing w:after="0" w:line="1" w:lineRule="exact"/>
        <w:rPr>
          <w:sz w:val="20"/>
          <w:szCs w:val="20"/>
          <w:color w:val="auto"/>
        </w:rPr>
      </w:pPr>
    </w:p>
    <w:p>
      <w:pPr>
        <w:ind w:left="2380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0"/>
          <w:szCs w:val="20"/>
          <w:color w:val="auto"/>
        </w:rPr>
        <w:t>Vice-Prefeito Municipal em exercício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88" w:lineRule="exact"/>
        <w:rPr>
          <w:sz w:val="20"/>
          <w:szCs w:val="20"/>
          <w:color w:val="auto"/>
        </w:rPr>
      </w:pPr>
    </w:p>
    <w:p>
      <w:pPr>
        <w:ind w:left="260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0"/>
          <w:szCs w:val="20"/>
          <w:color w:val="auto"/>
        </w:rPr>
        <w:t>Senhor Presidente</w:t>
      </w:r>
    </w:p>
    <w:p>
      <w:pPr>
        <w:spacing w:after="0" w:line="1" w:lineRule="exact"/>
        <w:rPr>
          <w:sz w:val="20"/>
          <w:szCs w:val="20"/>
          <w:color w:val="auto"/>
        </w:rPr>
      </w:pPr>
    </w:p>
    <w:p>
      <w:pPr>
        <w:ind w:left="260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0"/>
          <w:szCs w:val="20"/>
          <w:color w:val="auto"/>
        </w:rPr>
        <w:t>ELOI NARDI</w:t>
      </w:r>
    </w:p>
    <w:p>
      <w:pPr>
        <w:ind w:left="260"/>
        <w:spacing w:after="0" w:line="238" w:lineRule="auto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0"/>
          <w:szCs w:val="20"/>
          <w:color w:val="auto"/>
        </w:rPr>
        <w:t>Câmara de Vereadores</w:t>
      </w:r>
    </w:p>
    <w:p>
      <w:pPr>
        <w:spacing w:after="0" w:line="1" w:lineRule="exact"/>
        <w:rPr>
          <w:sz w:val="20"/>
          <w:szCs w:val="20"/>
          <w:color w:val="auto"/>
        </w:rPr>
      </w:pPr>
    </w:p>
    <w:p>
      <w:pPr>
        <w:ind w:left="260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0"/>
          <w:szCs w:val="20"/>
          <w:color w:val="auto"/>
        </w:rPr>
        <w:t>Nesta</w:t>
      </w:r>
    </w:p>
    <w:sectPr>
      <w:pgSz w:w="11900" w:h="16840" w:orient="portrait"/>
      <w:cols w:equalWidth="0" w:num="1">
        <w:col w:w="9340"/>
      </w:cols>
      <w:pgMar w:left="1440" w:top="969" w:right="1120" w:bottom="973" w:gutter="0" w:footer="0" w:header="0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8" Type="http://schemas.openxmlformats.org/officeDocument/2006/relationships/image" Target="media/image1.png"/><Relationship Id="rId9" Type="http://schemas.openxmlformats.org/officeDocument/2006/relationships/image" Target="media/image2.png"/><Relationship Id="rId10" Type="http://schemas.openxmlformats.org/officeDocument/2006/relationships/image" Target="media/image3.png"/><Relationship Id="rId11" Type="http://schemas.openxmlformats.org/officeDocument/2006/relationships/image" Target="media/image4.png"/><Relationship Id="rId12" Type="http://schemas.openxmlformats.org/officeDocument/2006/relationships/image" Target="media/image5.png"/><Relationship Id="rId13" Type="http://schemas.openxmlformats.org/officeDocument/2006/relationships/image" Target="media/image6.png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2021-02-26T12:23:23Z</dcterms:created>
  <dcterms:modified xsi:type="dcterms:W3CDTF">2021-02-26T12:23:23Z</dcterms:modified>
</cp:coreProperties>
</file>