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Heading1"/>
        <w:spacing w:before="69"/>
        <w:ind w:left="2984"/>
      </w:pPr>
      <w:r>
        <w:rPr>
          <w:u w:val="single"/>
        </w:rPr>
        <w:t>LEI Nº </w:t>
      </w:r>
      <w:r>
        <w:rPr>
          <w:spacing w:val="-4"/>
          <w:u w:val="single"/>
        </w:rPr>
        <w:t>5.114 </w:t>
      </w:r>
      <w:r>
        <w:rPr>
          <w:u w:val="single"/>
        </w:rPr>
        <w:t>DE 19  DE  FEVEREIRO  DE</w:t>
      </w:r>
      <w:r>
        <w:rPr>
          <w:spacing w:val="56"/>
          <w:u w:val="single"/>
        </w:rPr>
        <w:t> </w:t>
      </w:r>
      <w:r>
        <w:rPr>
          <w:u w:val="single"/>
        </w:rPr>
        <w:t>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before="72"/>
        <w:ind w:left="6172" w:right="110"/>
        <w:jc w:val="both"/>
      </w:pPr>
      <w:r>
        <w:rPr/>
        <w:t>Autoriza o Poder Executivo do Município de Getúlio Vargas a firmar convênio com a ASSOCIAÇÃO AQUARELA     PRÓ-AUTISTA     DE</w:t>
      </w:r>
    </w:p>
    <w:p>
      <w:pPr>
        <w:pStyle w:val="BodyText"/>
        <w:spacing w:before="1"/>
        <w:ind w:left="6172"/>
        <w:jc w:val="both"/>
      </w:pPr>
      <w:r>
        <w:rPr/>
        <w:t>ERECHIM e dá outras providências.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368" w:right="116" w:firstLine="2114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1368" w:right="114" w:firstLine="2114"/>
        <w:jc w:val="both"/>
      </w:pPr>
      <w:r>
        <w:rPr/>
        <w:t>Art. 1º Fica o Poder Executivo do Município de Getúlio Vargas autorizado a firmar convênio com a ASSOCIAÇÃO AQUARELA PRÓ-AUTISTA DE ERECHIM, para atendimento de 02 (duas) crianças/adolescentes deste Município, com Transtorno Global do Desenvolvimento - Autismo, objetivando o atendimento cognitivo, terapêutico, pedagógico e multidisciplinar, de forma assistencial, reforçando e orientando as famílias, visando o desenvolvimento e o aprendizado do educando, incluindo-o na sociedade, proporcionando autonomia e independência.</w:t>
      </w:r>
    </w:p>
    <w:p>
      <w:pPr>
        <w:pStyle w:val="BodyText"/>
      </w:pPr>
    </w:p>
    <w:p>
      <w:pPr>
        <w:pStyle w:val="BodyText"/>
        <w:ind w:left="1368" w:right="116" w:firstLine="2114"/>
        <w:jc w:val="both"/>
      </w:pPr>
      <w:r>
        <w:rPr/>
        <w:t>Art. 2º O Município fica autorizado a repassar à Associação Aquarela Pró-Autista de Erechim, a título de Subvenção Social pelos serviços prestados, o valor de R$ 1.300,00 (mil e trezentos reais) mensais, no período de 01 de janeiro a 31 de dezembro de</w:t>
      </w:r>
      <w:r>
        <w:rPr>
          <w:spacing w:val="-17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ind w:left="1368" w:right="119" w:firstLine="2114"/>
        <w:jc w:val="both"/>
      </w:pPr>
      <w:r>
        <w:rPr/>
        <w:t>Art. 3º O prazo de vigência do convênio será de 01 de janeiro até 31 de dezembro de</w:t>
      </w:r>
      <w:r>
        <w:rPr>
          <w:spacing w:val="-14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ind w:left="1368" w:right="120" w:firstLine="2114"/>
        <w:jc w:val="both"/>
      </w:pPr>
      <w:r>
        <w:rPr/>
        <w:t>Art. 4º As despesas decorrentes da presente Lei correrão à conta da seguinte dotação orçamentária:</w:t>
      </w:r>
    </w:p>
    <w:p>
      <w:pPr>
        <w:pStyle w:val="BodyText"/>
        <w:spacing w:line="252" w:lineRule="exact" w:before="1"/>
        <w:ind w:left="1388"/>
      </w:pPr>
      <w:r>
        <w:rPr/>
        <w:t>08. SECRETARIA DE EDUCAÇÃO, CULTURA E DESPORTO</w:t>
      </w:r>
    </w:p>
    <w:p>
      <w:pPr>
        <w:pStyle w:val="BodyText"/>
        <w:tabs>
          <w:tab w:pos="3544" w:val="left" w:leader="none"/>
          <w:tab w:pos="4119" w:val="left" w:leader="none"/>
          <w:tab w:pos="6186" w:val="left" w:leader="none"/>
          <w:tab w:pos="6982" w:val="left" w:leader="none"/>
          <w:tab w:pos="8731" w:val="left" w:leader="none"/>
        </w:tabs>
        <w:spacing w:line="252" w:lineRule="exact"/>
        <w:ind w:left="1388"/>
      </w:pPr>
      <w:r>
        <w:rPr/>
        <w:t>1236700052.031</w:t>
        <w:tab/>
        <w:t>-</w:t>
        <w:tab/>
        <w:t>MANUTENÇÃO</w:t>
        <w:tab/>
        <w:t>DA</w:t>
        <w:tab/>
        <w:t>EDUCAÇÃO</w:t>
        <w:tab/>
        <w:t>ESPECIAL</w:t>
      </w:r>
    </w:p>
    <w:p>
      <w:pPr>
        <w:pStyle w:val="BodyText"/>
        <w:spacing w:before="1"/>
        <w:ind w:left="1388"/>
      </w:pPr>
      <w:r>
        <w:rPr/>
        <w:t>3.3.50.43.00.0000 – Subvenções Sociais</w:t>
      </w:r>
    </w:p>
    <w:p>
      <w:pPr>
        <w:pStyle w:val="BodyText"/>
      </w:pPr>
    </w:p>
    <w:p>
      <w:pPr>
        <w:pStyle w:val="BodyText"/>
        <w:ind w:left="3482"/>
      </w:pPr>
      <w:r>
        <w:rPr/>
        <w:t>Art. 5º Esta Lei entrará em vigor na data de sua publicação.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68"/>
      </w:pPr>
      <w:r>
        <w:rPr/>
        <w:t>PREFEITURA  MUNICIPAL   DE   GETÚLIO   VARGAS,   19   de   fevereiro  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2" w:lineRule="exact"/>
        <w:ind w:left="3640"/>
      </w:pPr>
      <w:r>
        <w:rPr/>
        <w:t>Bel. PEDRO PAULO PREZZOTTO,</w:t>
      </w:r>
    </w:p>
    <w:p>
      <w:pPr>
        <w:pStyle w:val="BodyText"/>
        <w:spacing w:line="252" w:lineRule="exact"/>
        <w:ind w:left="3620" w:right="4449"/>
        <w:jc w:val="center"/>
      </w:pPr>
      <w:r>
        <w:rPr/>
        <w:t>Prefeito Municipal.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368"/>
      </w:pPr>
      <w:r>
        <w:rPr/>
        <w:t>Registre-se e 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52" w:lineRule="exact"/>
        <w:ind w:left="3546" w:right="4449"/>
        <w:jc w:val="center"/>
      </w:pPr>
      <w:r>
        <w:rPr/>
        <w:t>JULIANO NARDI,</w:t>
      </w:r>
    </w:p>
    <w:p>
      <w:pPr>
        <w:pStyle w:val="BodyText"/>
        <w:tabs>
          <w:tab w:pos="6381" w:val="left" w:leader="none"/>
          <w:tab w:pos="8352" w:val="left" w:leader="none"/>
        </w:tabs>
        <w:spacing w:line="252" w:lineRule="exact"/>
        <w:ind w:left="3640"/>
      </w:pPr>
      <w:r>
        <w:rPr/>
        <w:t>Secretário</w:t>
        <w:tab/>
        <w:t>de</w:t>
        <w:tab/>
        <w:t>Administração.</w:t>
      </w:r>
    </w:p>
    <w:p>
      <w:pPr>
        <w:pStyle w:val="Heading1"/>
      </w:pPr>
      <w:r>
        <w:rPr>
          <w:u w:val="single"/>
        </w:rPr>
        <w:t>TERMO SIMPLIFICADO DE CONVÊNIO </w:t>
      </w:r>
    </w:p>
    <w:p>
      <w:pPr>
        <w:spacing w:after="0"/>
        <w:sectPr>
          <w:headerReference w:type="default" r:id="rId5"/>
          <w:type w:val="continuous"/>
          <w:pgSz w:w="11900" w:h="16840"/>
          <w:pgMar w:header="973" w:top="2160" w:bottom="280" w:left="900" w:right="10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0"/>
        <w:ind w:left="1368" w:right="0" w:firstLine="0"/>
        <w:jc w:val="both"/>
        <w:rPr>
          <w:sz w:val="22"/>
        </w:rPr>
      </w:pPr>
      <w:r>
        <w:rPr>
          <w:b/>
          <w:sz w:val="22"/>
        </w:rPr>
        <w:t>1.Programa/Ação:  </w:t>
      </w:r>
      <w:r>
        <w:rPr>
          <w:sz w:val="22"/>
        </w:rPr>
        <w:t>Subvenção  social  atendimento  autismo  (Lei  Municipal  nº …..)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tabs>
          <w:tab w:pos="3119" w:val="left" w:leader="none"/>
          <w:tab w:pos="4925" w:val="left" w:leader="none"/>
          <w:tab w:pos="7148" w:val="left" w:leader="none"/>
          <w:tab w:pos="9375" w:val="left" w:leader="none"/>
        </w:tabs>
        <w:spacing w:line="240" w:lineRule="auto"/>
      </w:pPr>
      <w:r>
        <w:rPr/>
        <w:t>2.</w:t>
        <w:tab/>
        <w:t>Nº</w:t>
        <w:tab/>
      </w:r>
      <w:r>
        <w:rPr>
          <w:spacing w:val="-4"/>
        </w:rPr>
        <w:t>Termo</w:t>
        <w:tab/>
      </w:r>
      <w:r>
        <w:rPr/>
        <w:t>(TSC):</w:t>
        <w:tab/>
        <w:t>.......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658" w:val="left" w:leader="none"/>
        </w:tabs>
        <w:spacing w:line="240" w:lineRule="auto" w:before="0" w:after="0"/>
        <w:ind w:left="1368" w:right="111" w:firstLine="0"/>
        <w:jc w:val="both"/>
        <w:rPr>
          <w:sz w:val="22"/>
        </w:rPr>
      </w:pPr>
      <w:r>
        <w:rPr>
          <w:b/>
          <w:sz w:val="22"/>
        </w:rPr>
        <w:t>Concedente: O MUNICÍPIO DE GETÚLIO </w:t>
      </w:r>
      <w:r>
        <w:rPr>
          <w:b/>
          <w:spacing w:val="-3"/>
          <w:sz w:val="22"/>
        </w:rPr>
        <w:t>VARGAS</w:t>
      </w:r>
      <w:r>
        <w:rPr>
          <w:spacing w:val="-3"/>
          <w:sz w:val="22"/>
        </w:rPr>
        <w:t>, </w:t>
      </w:r>
      <w:r>
        <w:rPr>
          <w:sz w:val="22"/>
        </w:rPr>
        <w:t>pessoa jurídica de direito público interno, inscrito no CNPJ sob nº 87.613.410/0001-96, com sede administrativa a </w:t>
      </w:r>
      <w:r>
        <w:rPr>
          <w:spacing w:val="-8"/>
          <w:sz w:val="22"/>
        </w:rPr>
        <w:t>Av. </w:t>
      </w:r>
      <w:r>
        <w:rPr>
          <w:sz w:val="22"/>
        </w:rPr>
        <w:t>Engº. Firmino Girardello, 85, nesta Cidade, representado neste ato por seu Prefeito Municipal Senhor PEDRO </w:t>
      </w:r>
      <w:r>
        <w:rPr>
          <w:spacing w:val="-4"/>
          <w:sz w:val="22"/>
        </w:rPr>
        <w:t>PAULO </w:t>
      </w:r>
      <w:r>
        <w:rPr>
          <w:sz w:val="22"/>
        </w:rPr>
        <w:t>PREZZOTTO, brasileiro, casado, portador do    CPF    nº        053.651.390-20,    residente    e    domiciliado    neste   </w:t>
      </w:r>
      <w:r>
        <w:rPr>
          <w:spacing w:val="38"/>
          <w:sz w:val="22"/>
        </w:rPr>
        <w:t> </w:t>
      </w:r>
      <w:r>
        <w:rPr>
          <w:sz w:val="22"/>
        </w:rPr>
        <w:t>Município.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1612" w:val="left" w:leader="none"/>
        </w:tabs>
        <w:spacing w:line="240" w:lineRule="auto" w:before="0" w:after="0"/>
        <w:ind w:left="1612" w:right="0" w:hanging="244"/>
        <w:jc w:val="both"/>
      </w:pPr>
      <w:r>
        <w:rPr/>
        <w:t>Convenente:</w:t>
      </w:r>
      <w:r>
        <w:rPr>
          <w:spacing w:val="-20"/>
        </w:rPr>
        <w:t> </w:t>
      </w:r>
      <w:r>
        <w:rPr/>
        <w:t>ASSOCIAÇÃO</w:t>
      </w:r>
      <w:r>
        <w:rPr>
          <w:spacing w:val="-20"/>
        </w:rPr>
        <w:t> </w:t>
      </w:r>
      <w:r>
        <w:rPr/>
        <w:t>AQUARELA</w:t>
      </w:r>
      <w:r>
        <w:rPr>
          <w:spacing w:val="-22"/>
        </w:rPr>
        <w:t> </w:t>
      </w:r>
      <w:r>
        <w:rPr/>
        <w:t>PRÓ-AUTISTA</w:t>
      </w:r>
    </w:p>
    <w:p>
      <w:pPr>
        <w:tabs>
          <w:tab w:pos="4373" w:val="left" w:leader="none"/>
          <w:tab w:pos="7855" w:val="left" w:leader="none"/>
        </w:tabs>
        <w:spacing w:line="252" w:lineRule="exact" w:before="1"/>
        <w:ind w:left="1368" w:right="0" w:firstLine="0"/>
        <w:jc w:val="both"/>
        <w:rPr>
          <w:sz w:val="22"/>
        </w:rPr>
      </w:pPr>
      <w:r>
        <w:rPr>
          <w:b/>
          <w:sz w:val="22"/>
        </w:rPr>
        <w:t>5.</w:t>
        <w:tab/>
        <w:t>CNPJ:</w:t>
        <w:tab/>
      </w:r>
      <w:r>
        <w:rPr>
          <w:sz w:val="22"/>
        </w:rPr>
        <w:t>11.696.516/0001-39</w:t>
      </w:r>
    </w:p>
    <w:p>
      <w:pPr>
        <w:pStyle w:val="ListParagraph"/>
        <w:numPr>
          <w:ilvl w:val="0"/>
          <w:numId w:val="2"/>
        </w:numPr>
        <w:tabs>
          <w:tab w:pos="1730" w:val="left" w:leader="none"/>
        </w:tabs>
        <w:spacing w:line="252" w:lineRule="exact" w:before="0" w:after="0"/>
        <w:ind w:left="1368" w:right="0" w:firstLine="0"/>
        <w:jc w:val="both"/>
        <w:rPr>
          <w:sz w:val="22"/>
        </w:rPr>
      </w:pPr>
      <w:r>
        <w:rPr>
          <w:b/>
          <w:sz w:val="22"/>
        </w:rPr>
        <w:t>Sede</w:t>
      </w:r>
      <w:r>
        <w:rPr>
          <w:sz w:val="22"/>
        </w:rPr>
        <w:t>:   Rua   Antonio   Burin,   35      Bairro   Santa   Catarina   –   CEP</w:t>
      </w:r>
      <w:r>
        <w:rPr>
          <w:spacing w:val="23"/>
          <w:sz w:val="22"/>
        </w:rPr>
        <w:t> </w:t>
      </w:r>
      <w:r>
        <w:rPr>
          <w:sz w:val="22"/>
        </w:rPr>
        <w:t>99.700-00</w:t>
      </w:r>
    </w:p>
    <w:p>
      <w:pPr>
        <w:pStyle w:val="Heading2"/>
        <w:numPr>
          <w:ilvl w:val="0"/>
          <w:numId w:val="2"/>
        </w:numPr>
        <w:tabs>
          <w:tab w:pos="3577" w:val="left" w:leader="none"/>
          <w:tab w:pos="3578" w:val="left" w:leader="none"/>
          <w:tab w:pos="7132" w:val="left" w:leader="none"/>
        </w:tabs>
        <w:spacing w:line="252" w:lineRule="exact" w:before="1" w:after="0"/>
        <w:ind w:left="3577" w:right="0" w:hanging="2209"/>
        <w:jc w:val="both"/>
      </w:pPr>
      <w:r>
        <w:rPr/>
        <w:t>Representante</w:t>
        <w:tab/>
        <w:t>Legal:</w:t>
      </w:r>
    </w:p>
    <w:p>
      <w:pPr>
        <w:pStyle w:val="ListParagraph"/>
        <w:numPr>
          <w:ilvl w:val="0"/>
          <w:numId w:val="2"/>
        </w:numPr>
        <w:tabs>
          <w:tab w:pos="4131" w:val="left" w:leader="none"/>
          <w:tab w:pos="4132" w:val="left" w:leader="none"/>
        </w:tabs>
        <w:spacing w:line="252" w:lineRule="exact" w:before="0" w:after="0"/>
        <w:ind w:left="4131" w:right="0" w:hanging="2763"/>
        <w:jc w:val="both"/>
        <w:rPr>
          <w:b/>
          <w:sz w:val="22"/>
        </w:rPr>
      </w:pPr>
      <w:r>
        <w:rPr>
          <w:b/>
          <w:sz w:val="22"/>
        </w:rPr>
        <w:t>CPF:</w:t>
      </w:r>
    </w:p>
    <w:p>
      <w:pPr>
        <w:pStyle w:val="ListParagraph"/>
        <w:numPr>
          <w:ilvl w:val="0"/>
          <w:numId w:val="2"/>
        </w:numPr>
        <w:tabs>
          <w:tab w:pos="5069" w:val="left" w:leader="none"/>
          <w:tab w:pos="5070" w:val="left" w:leader="none"/>
        </w:tabs>
        <w:spacing w:line="240" w:lineRule="auto" w:before="1" w:after="0"/>
        <w:ind w:left="5069" w:right="0" w:hanging="3701"/>
        <w:jc w:val="both"/>
        <w:rPr>
          <w:sz w:val="22"/>
        </w:rPr>
      </w:pPr>
      <w:r>
        <w:rPr>
          <w:b/>
          <w:sz w:val="22"/>
        </w:rPr>
        <w:t>Residência</w:t>
      </w:r>
      <w:r>
        <w:rPr>
          <w:sz w:val="22"/>
        </w:rPr>
        <w:t>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860" w:val="left" w:leader="none"/>
        </w:tabs>
        <w:spacing w:line="240" w:lineRule="auto" w:before="0" w:after="0"/>
        <w:ind w:left="1368" w:right="110" w:firstLine="0"/>
        <w:jc w:val="both"/>
        <w:rPr>
          <w:sz w:val="22"/>
        </w:rPr>
      </w:pPr>
      <w:r>
        <w:rPr>
          <w:b/>
          <w:sz w:val="22"/>
        </w:rPr>
        <w:t>Objeto: </w:t>
      </w:r>
      <w:r>
        <w:rPr>
          <w:sz w:val="22"/>
        </w:rPr>
        <w:t>Repasse de subvenção social para atendimento de 02 (duas) crianças/adolescentes deste Município, com Transtorno Global do Desenvolvimento – Autismo, atendimento cognitivo, terapêutico, pedagógico e multidisciplinar, de forma assistencial, reforçando e orientando às famílias, visando o desenvolvimento e o aprendizado do educando, incluindo-o na sociedade proporcionando autonomia e independência.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722" w:val="left" w:leader="none"/>
        </w:tabs>
        <w:spacing w:line="240" w:lineRule="auto" w:before="0" w:after="0"/>
        <w:ind w:left="1722" w:right="0" w:hanging="354"/>
        <w:jc w:val="both"/>
        <w:rPr>
          <w:sz w:val="22"/>
        </w:rPr>
      </w:pPr>
      <w:r>
        <w:rPr>
          <w:b/>
          <w:spacing w:val="-3"/>
          <w:sz w:val="22"/>
        </w:rPr>
        <w:t>Valor: </w:t>
      </w:r>
      <w:r>
        <w:rPr>
          <w:sz w:val="22"/>
        </w:rPr>
        <w:t>R$ 1.300,00 ( mil e trezentos reais)</w:t>
      </w:r>
      <w:r>
        <w:rPr>
          <w:spacing w:val="-16"/>
          <w:sz w:val="22"/>
        </w:rPr>
        <w:t> </w:t>
      </w:r>
      <w:r>
        <w:rPr>
          <w:sz w:val="22"/>
        </w:rPr>
        <w:t>mensais.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776" w:val="left" w:leader="none"/>
        </w:tabs>
        <w:spacing w:line="240" w:lineRule="auto" w:before="0" w:after="0"/>
        <w:ind w:left="1368" w:right="111" w:firstLine="20"/>
        <w:jc w:val="both"/>
        <w:rPr>
          <w:sz w:val="22"/>
        </w:rPr>
      </w:pPr>
      <w:r>
        <w:rPr>
          <w:b/>
          <w:sz w:val="22"/>
        </w:rPr>
        <w:t>Prazo de prestação de contas (pelo Convenente): </w:t>
      </w:r>
      <w:r>
        <w:rPr>
          <w:sz w:val="22"/>
        </w:rPr>
        <w:t>A prestação de contas dos recursos recebidos deverá ocorrer até 60 (sessenta) dias após a liberação da última parcela.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762" w:val="left" w:leader="none"/>
        </w:tabs>
        <w:spacing w:line="240" w:lineRule="auto" w:before="0" w:after="0"/>
        <w:ind w:left="1368" w:right="120" w:firstLine="20"/>
        <w:jc w:val="both"/>
        <w:rPr>
          <w:sz w:val="22"/>
        </w:rPr>
      </w:pPr>
      <w:r>
        <w:rPr>
          <w:b/>
          <w:sz w:val="22"/>
        </w:rPr>
        <w:t>Vigência</w:t>
      </w:r>
      <w:r>
        <w:rPr>
          <w:sz w:val="22"/>
        </w:rPr>
        <w:t>: O prazo de vigência do presente </w:t>
      </w:r>
      <w:r>
        <w:rPr>
          <w:spacing w:val="-6"/>
          <w:sz w:val="22"/>
        </w:rPr>
        <w:t>Termo </w:t>
      </w:r>
      <w:r>
        <w:rPr>
          <w:sz w:val="22"/>
        </w:rPr>
        <w:t>Simplificado de Convênio será de        01        de        janeiro        a        31        de        dezembro        de          </w:t>
      </w:r>
      <w:r>
        <w:rPr>
          <w:spacing w:val="49"/>
          <w:sz w:val="22"/>
        </w:rPr>
        <w:t> </w:t>
      </w:r>
      <w:r>
        <w:rPr>
          <w:sz w:val="22"/>
        </w:rPr>
        <w:t>2016.</w:t>
      </w:r>
    </w:p>
    <w:p>
      <w:pPr>
        <w:pStyle w:val="BodyText"/>
        <w:spacing w:before="1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4645" w:val="left" w:leader="none"/>
          <w:tab w:pos="4646" w:val="left" w:leader="none"/>
          <w:tab w:pos="8721" w:val="left" w:leader="none"/>
        </w:tabs>
        <w:spacing w:line="252" w:lineRule="exact" w:before="0" w:after="0"/>
        <w:ind w:left="4645" w:right="0" w:hanging="3257"/>
        <w:jc w:val="both"/>
      </w:pPr>
      <w:r>
        <w:rPr/>
        <w:t>Condições</w:t>
        <w:tab/>
        <w:t>Especiais:</w:t>
      </w:r>
    </w:p>
    <w:p>
      <w:pPr>
        <w:pStyle w:val="BodyText"/>
        <w:tabs>
          <w:tab w:pos="2531" w:val="left" w:leader="none"/>
          <w:tab w:pos="3687" w:val="left" w:leader="none"/>
          <w:tab w:pos="4938" w:val="left" w:leader="none"/>
          <w:tab w:pos="7208" w:val="left" w:leader="none"/>
          <w:tab w:pos="8522" w:val="left" w:leader="none"/>
        </w:tabs>
        <w:spacing w:line="252" w:lineRule="exact"/>
        <w:ind w:left="1388"/>
        <w:jc w:val="both"/>
      </w:pPr>
      <w:r>
        <w:rPr/>
        <w:t>I</w:t>
        <w:tab/>
        <w:t>-</w:t>
        <w:tab/>
        <w:t>O</w:t>
        <w:tab/>
        <w:t>Convenente</w:t>
        <w:tab/>
        <w:t>se</w:t>
        <w:tab/>
        <w:t>compromete:</w:t>
      </w:r>
    </w:p>
    <w:p>
      <w:pPr>
        <w:pStyle w:val="ListParagraph"/>
        <w:numPr>
          <w:ilvl w:val="0"/>
          <w:numId w:val="3"/>
        </w:numPr>
        <w:tabs>
          <w:tab w:pos="1664" w:val="left" w:leader="none"/>
        </w:tabs>
        <w:spacing w:line="252" w:lineRule="exact" w:before="1" w:after="0"/>
        <w:ind w:left="1368" w:right="0" w:firstLine="20"/>
        <w:jc w:val="both"/>
        <w:rPr>
          <w:sz w:val="22"/>
        </w:rPr>
      </w:pPr>
      <w:r>
        <w:rPr>
          <w:sz w:val="22"/>
        </w:rPr>
        <w:t>promover a execução do convênio na forma e prazos estabelecidos neste  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Termo;</w:t>
      </w:r>
    </w:p>
    <w:p>
      <w:pPr>
        <w:pStyle w:val="ListParagraph"/>
        <w:numPr>
          <w:ilvl w:val="0"/>
          <w:numId w:val="3"/>
        </w:numPr>
        <w:tabs>
          <w:tab w:pos="1730" w:val="left" w:leader="none"/>
        </w:tabs>
        <w:spacing w:line="252" w:lineRule="exact" w:before="0" w:after="0"/>
        <w:ind w:left="1729" w:right="0" w:hanging="341"/>
        <w:jc w:val="both"/>
        <w:rPr>
          <w:sz w:val="22"/>
        </w:rPr>
      </w:pPr>
      <w:r>
        <w:rPr>
          <w:sz w:val="22"/>
        </w:rPr>
        <w:t>aplicar  os  recursos  discriminados  exclusivamente  na  consecução  do   </w:t>
      </w:r>
      <w:r>
        <w:rPr>
          <w:spacing w:val="33"/>
          <w:sz w:val="22"/>
        </w:rPr>
        <w:t> </w:t>
      </w:r>
      <w:r>
        <w:rPr>
          <w:sz w:val="22"/>
        </w:rPr>
        <w:t>objeto;</w:t>
      </w:r>
    </w:p>
    <w:p>
      <w:pPr>
        <w:pStyle w:val="ListParagraph"/>
        <w:numPr>
          <w:ilvl w:val="0"/>
          <w:numId w:val="3"/>
        </w:numPr>
        <w:tabs>
          <w:tab w:pos="1668" w:val="left" w:leader="none"/>
          <w:tab w:pos="9149" w:val="left" w:leader="none"/>
        </w:tabs>
        <w:spacing w:line="240" w:lineRule="auto" w:before="1" w:after="0"/>
        <w:ind w:left="1368" w:right="109" w:firstLine="20"/>
        <w:jc w:val="both"/>
        <w:rPr>
          <w:sz w:val="22"/>
        </w:rPr>
      </w:pPr>
      <w:r>
        <w:rPr>
          <w:sz w:val="22"/>
        </w:rPr>
        <w:t>assegurar o provimento tempestivo dos recursos complementares necessários à execução</w:t>
      </w:r>
      <w:r>
        <w:rPr>
          <w:spacing w:val="32"/>
          <w:sz w:val="22"/>
        </w:rPr>
        <w:t> </w:t>
      </w:r>
      <w:r>
        <w:rPr>
          <w:sz w:val="22"/>
        </w:rPr>
        <w:t>do</w:t>
        <w:tab/>
      </w:r>
      <w:r>
        <w:rPr>
          <w:spacing w:val="-1"/>
          <w:sz w:val="22"/>
        </w:rPr>
        <w:t>objeto;</w:t>
      </w:r>
    </w:p>
    <w:p>
      <w:pPr>
        <w:pStyle w:val="ListParagraph"/>
        <w:numPr>
          <w:ilvl w:val="0"/>
          <w:numId w:val="3"/>
        </w:numPr>
        <w:tabs>
          <w:tab w:pos="1658" w:val="left" w:leader="none"/>
          <w:tab w:pos="3737" w:val="left" w:leader="none"/>
          <w:tab w:pos="5193" w:val="left" w:leader="none"/>
          <w:tab w:pos="7334" w:val="left" w:leader="none"/>
          <w:tab w:pos="8900" w:val="left" w:leader="none"/>
        </w:tabs>
        <w:spacing w:line="240" w:lineRule="auto" w:before="1" w:after="0"/>
        <w:ind w:left="1388" w:right="112" w:firstLine="0"/>
        <w:jc w:val="both"/>
        <w:rPr>
          <w:sz w:val="22"/>
        </w:rPr>
      </w:pPr>
      <w:r>
        <w:rPr>
          <w:sz w:val="22"/>
        </w:rPr>
        <w:t>permitir e facilitar ao Concedente o acesso a toda documentação indispensável à fiscalização</w:t>
        <w:tab/>
        <w:t>da</w:t>
        <w:tab/>
        <w:t>aplicação</w:t>
        <w:tab/>
        <w:t>dos</w:t>
        <w:tab/>
        <w:t>recursos;</w:t>
      </w:r>
    </w:p>
    <w:p>
      <w:pPr>
        <w:pStyle w:val="ListParagraph"/>
        <w:numPr>
          <w:ilvl w:val="0"/>
          <w:numId w:val="3"/>
        </w:numPr>
        <w:tabs>
          <w:tab w:pos="1650" w:val="left" w:leader="none"/>
        </w:tabs>
        <w:spacing w:line="240" w:lineRule="auto" w:before="1" w:after="0"/>
        <w:ind w:left="1388" w:right="179" w:firstLine="0"/>
        <w:jc w:val="both"/>
        <w:rPr>
          <w:sz w:val="22"/>
        </w:rPr>
      </w:pPr>
      <w:r>
        <w:rPr>
          <w:sz w:val="22"/>
        </w:rPr>
        <w:t>observar e exigir na consecução do objeto o cumprimento de todas as orientações específicas emanadas do</w:t>
      </w:r>
      <w:r>
        <w:rPr>
          <w:spacing w:val="-18"/>
          <w:sz w:val="22"/>
        </w:rPr>
        <w:t> </w:t>
      </w:r>
      <w:r>
        <w:rPr>
          <w:sz w:val="22"/>
        </w:rPr>
        <w:t>Concedente;</w:t>
      </w:r>
    </w:p>
    <w:p>
      <w:pPr>
        <w:pStyle w:val="ListParagraph"/>
        <w:numPr>
          <w:ilvl w:val="0"/>
          <w:numId w:val="3"/>
        </w:numPr>
        <w:tabs>
          <w:tab w:pos="1834" w:val="left" w:leader="none"/>
        </w:tabs>
        <w:spacing w:line="252" w:lineRule="exact" w:before="1" w:after="0"/>
        <w:ind w:left="1833" w:right="0" w:hanging="445"/>
        <w:jc w:val="both"/>
        <w:rPr>
          <w:sz w:val="22"/>
        </w:rPr>
      </w:pPr>
      <w:r>
        <w:rPr>
          <w:sz w:val="22"/>
        </w:rPr>
        <w:t>comprovar     o     bom     e     regular     emprego     dos     recursos    </w:t>
      </w:r>
      <w:r>
        <w:rPr>
          <w:spacing w:val="14"/>
          <w:sz w:val="22"/>
        </w:rPr>
        <w:t> </w:t>
      </w:r>
      <w:r>
        <w:rPr>
          <w:sz w:val="22"/>
        </w:rPr>
        <w:t>recebidos;</w:t>
      </w:r>
    </w:p>
    <w:p>
      <w:pPr>
        <w:pStyle w:val="ListParagraph"/>
        <w:numPr>
          <w:ilvl w:val="0"/>
          <w:numId w:val="3"/>
        </w:numPr>
        <w:tabs>
          <w:tab w:pos="1798" w:val="left" w:leader="none"/>
          <w:tab w:pos="6493" w:val="left" w:leader="none"/>
          <w:tab w:pos="9147" w:val="left" w:leader="none"/>
        </w:tabs>
        <w:spacing w:line="240" w:lineRule="auto" w:before="0" w:after="0"/>
        <w:ind w:left="1368" w:right="111" w:firstLine="20"/>
        <w:jc w:val="both"/>
        <w:rPr>
          <w:sz w:val="22"/>
        </w:rPr>
      </w:pPr>
      <w:r>
        <w:rPr>
          <w:sz w:val="22"/>
        </w:rPr>
        <w:t>assumir todas as obrigações legais decorrentes da(s) contratação(ões) necessárias</w:t>
      </w:r>
      <w:r>
        <w:rPr>
          <w:spacing w:val="-2"/>
          <w:sz w:val="22"/>
        </w:rPr>
        <w:t> </w:t>
      </w:r>
      <w:r>
        <w:rPr>
          <w:sz w:val="22"/>
        </w:rPr>
        <w:t>à </w:t>
      </w:r>
      <w:r>
        <w:rPr>
          <w:spacing w:val="60"/>
          <w:sz w:val="22"/>
        </w:rPr>
        <w:t> </w:t>
      </w:r>
      <w:r>
        <w:rPr>
          <w:sz w:val="22"/>
        </w:rPr>
        <w:t>consecução</w:t>
        <w:tab/>
        <w:t>do</w:t>
        <w:tab/>
      </w:r>
      <w:r>
        <w:rPr>
          <w:spacing w:val="-1"/>
          <w:sz w:val="22"/>
        </w:rPr>
        <w:t>objeto;</w:t>
      </w:r>
    </w:p>
    <w:p>
      <w:pPr>
        <w:pStyle w:val="ListParagraph"/>
        <w:numPr>
          <w:ilvl w:val="0"/>
          <w:numId w:val="3"/>
        </w:numPr>
        <w:tabs>
          <w:tab w:pos="1726" w:val="left" w:leader="none"/>
        </w:tabs>
        <w:spacing w:line="252" w:lineRule="exact" w:before="0" w:after="0"/>
        <w:ind w:left="1725" w:right="0" w:hanging="337"/>
        <w:jc w:val="both"/>
        <w:rPr>
          <w:sz w:val="22"/>
        </w:rPr>
      </w:pPr>
      <w:r>
        <w:rPr>
          <w:sz w:val="22"/>
        </w:rPr>
        <w:t>manter  o  Concedente  informado  sobre  quaisquer  eventos  que  dificultem   </w:t>
      </w:r>
      <w:r>
        <w:rPr>
          <w:spacing w:val="17"/>
          <w:sz w:val="22"/>
        </w:rPr>
        <w:t> </w:t>
      </w:r>
      <w:r>
        <w:rPr>
          <w:sz w:val="22"/>
        </w:rPr>
        <w:t>ou</w:t>
      </w:r>
    </w:p>
    <w:p>
      <w:pPr>
        <w:spacing w:after="0" w:line="252" w:lineRule="exact"/>
        <w:jc w:val="both"/>
        <w:rPr>
          <w:sz w:val="22"/>
        </w:rPr>
        <w:sectPr>
          <w:pgSz w:w="11900" w:h="16840"/>
          <w:pgMar w:header="973" w:footer="0" w:top="2160" w:bottom="280" w:left="90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tbl>
      <w:tblPr>
        <w:tblW w:w="0" w:type="auto"/>
        <w:jc w:val="left"/>
        <w:tblInd w:w="13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2122"/>
        <w:gridCol w:w="1475"/>
        <w:gridCol w:w="871"/>
        <w:gridCol w:w="1052"/>
      </w:tblGrid>
      <w:tr>
        <w:trPr>
          <w:trHeight w:val="336" w:hRule="exact"/>
        </w:trPr>
        <w:tc>
          <w:tcPr>
            <w:tcW w:w="2982" w:type="dxa"/>
          </w:tcPr>
          <w:p>
            <w:pPr>
              <w:pStyle w:val="TableParagraph"/>
              <w:tabs>
                <w:tab w:pos="1578" w:val="left" w:leader="none"/>
                <w:tab w:pos="2232" w:val="left" w:leader="none"/>
              </w:tabs>
              <w:spacing w:before="72"/>
              <w:ind w:left="35"/>
              <w:rPr>
                <w:sz w:val="22"/>
              </w:rPr>
            </w:pPr>
            <w:r>
              <w:rPr>
                <w:sz w:val="22"/>
              </w:rPr>
              <w:t>interrompam</w:t>
              <w:tab/>
              <w:t>o</w:t>
              <w:tab/>
              <w:t>curso</w:t>
            </w:r>
          </w:p>
        </w:tc>
        <w:tc>
          <w:tcPr>
            <w:tcW w:w="2122" w:type="dxa"/>
          </w:tcPr>
          <w:p>
            <w:pPr>
              <w:pStyle w:val="TableParagraph"/>
              <w:tabs>
                <w:tab w:pos="1201" w:val="left" w:leader="none"/>
              </w:tabs>
              <w:spacing w:before="72"/>
              <w:ind w:right="35"/>
              <w:jc w:val="center"/>
              <w:rPr>
                <w:sz w:val="22"/>
              </w:rPr>
            </w:pPr>
            <w:r>
              <w:rPr>
                <w:sz w:val="22"/>
              </w:rPr>
              <w:t>normal</w:t>
              <w:tab/>
              <w:t>de</w:t>
            </w:r>
          </w:p>
        </w:tc>
        <w:tc>
          <w:tcPr>
            <w:tcW w:w="1475" w:type="dxa"/>
          </w:tcPr>
          <w:p>
            <w:pPr>
              <w:pStyle w:val="TableParagraph"/>
              <w:spacing w:before="72"/>
              <w:ind w:left="174"/>
              <w:rPr>
                <w:sz w:val="22"/>
              </w:rPr>
            </w:pPr>
            <w:r>
              <w:rPr>
                <w:sz w:val="22"/>
              </w:rPr>
              <w:t>execução</w:t>
            </w:r>
          </w:p>
        </w:tc>
        <w:tc>
          <w:tcPr>
            <w:tcW w:w="871" w:type="dxa"/>
          </w:tcPr>
          <w:p>
            <w:pPr>
              <w:pStyle w:val="TableParagraph"/>
              <w:spacing w:before="72"/>
              <w:ind w:left="172"/>
              <w:rPr>
                <w:sz w:val="22"/>
              </w:rPr>
            </w:pPr>
            <w:r>
              <w:rPr>
                <w:sz w:val="22"/>
              </w:rPr>
              <w:t>do</w:t>
            </w:r>
          </w:p>
        </w:tc>
        <w:tc>
          <w:tcPr>
            <w:tcW w:w="1052" w:type="dxa"/>
          </w:tcPr>
          <w:p>
            <w:pPr>
              <w:pStyle w:val="TableParagraph"/>
              <w:spacing w:before="72"/>
              <w:ind w:right="33"/>
              <w:jc w:val="right"/>
              <w:rPr>
                <w:sz w:val="22"/>
              </w:rPr>
            </w:pPr>
            <w:r>
              <w:rPr>
                <w:sz w:val="22"/>
              </w:rPr>
              <w:t>convênio;</w:t>
            </w:r>
          </w:p>
        </w:tc>
      </w:tr>
      <w:tr>
        <w:trPr>
          <w:trHeight w:val="236" w:hRule="exact"/>
        </w:trPr>
        <w:tc>
          <w:tcPr>
            <w:tcW w:w="2982" w:type="dxa"/>
          </w:tcPr>
          <w:p>
            <w:pPr>
              <w:pStyle w:val="TableParagraph"/>
              <w:tabs>
                <w:tab w:pos="604" w:val="left" w:leader="none"/>
                <w:tab w:pos="1398" w:val="left" w:leader="none"/>
              </w:tabs>
              <w:spacing w:line="241" w:lineRule="exact"/>
              <w:ind w:left="55"/>
              <w:rPr>
                <w:sz w:val="22"/>
              </w:rPr>
            </w:pPr>
            <w:r>
              <w:rPr>
                <w:sz w:val="22"/>
              </w:rPr>
              <w:t>i)</w:t>
              <w:tab/>
              <w:t>não</w:t>
              <w:tab/>
              <w:t>substabelecer</w:t>
            </w:r>
          </w:p>
        </w:tc>
        <w:tc>
          <w:tcPr>
            <w:tcW w:w="2122" w:type="dxa"/>
          </w:tcPr>
          <w:p>
            <w:pPr>
              <w:pStyle w:val="TableParagraph"/>
              <w:tabs>
                <w:tab w:pos="696" w:val="left" w:leader="none"/>
              </w:tabs>
              <w:spacing w:line="241" w:lineRule="exact"/>
              <w:ind w:left="37"/>
              <w:jc w:val="center"/>
              <w:rPr>
                <w:sz w:val="22"/>
              </w:rPr>
            </w:pPr>
            <w:r>
              <w:rPr>
                <w:sz w:val="22"/>
              </w:rPr>
              <w:t>as</w:t>
              <w:tab/>
              <w:t>obrigações</w:t>
            </w:r>
          </w:p>
        </w:tc>
        <w:tc>
          <w:tcPr>
            <w:tcW w:w="1475" w:type="dxa"/>
          </w:tcPr>
          <w:p>
            <w:pPr>
              <w:pStyle w:val="TableParagraph"/>
              <w:spacing w:line="241" w:lineRule="exact"/>
              <w:ind w:left="253"/>
              <w:rPr>
                <w:sz w:val="22"/>
              </w:rPr>
            </w:pPr>
            <w:r>
              <w:rPr>
                <w:sz w:val="22"/>
              </w:rPr>
              <w:t>assumidas</w:t>
            </w:r>
          </w:p>
        </w:tc>
        <w:tc>
          <w:tcPr>
            <w:tcW w:w="871" w:type="dxa"/>
          </w:tcPr>
          <w:p>
            <w:pPr>
              <w:pStyle w:val="TableParagraph"/>
              <w:spacing w:line="241" w:lineRule="exact"/>
              <w:ind w:left="255"/>
              <w:rPr>
                <w:sz w:val="22"/>
              </w:rPr>
            </w:pPr>
            <w:r>
              <w:rPr>
                <w:sz w:val="22"/>
              </w:rPr>
              <w:t>neste</w:t>
            </w:r>
          </w:p>
        </w:tc>
        <w:tc>
          <w:tcPr>
            <w:tcW w:w="1052" w:type="dxa"/>
          </w:tcPr>
          <w:p>
            <w:pPr>
              <w:pStyle w:val="TableParagraph"/>
              <w:spacing w:line="241" w:lineRule="exact"/>
              <w:ind w:right="33"/>
              <w:jc w:val="right"/>
              <w:rPr>
                <w:sz w:val="22"/>
              </w:rPr>
            </w:pPr>
            <w:r>
              <w:rPr>
                <w:sz w:val="22"/>
              </w:rPr>
              <w:t>Termo;</w:t>
            </w:r>
          </w:p>
        </w:tc>
      </w:tr>
    </w:tbl>
    <w:p>
      <w:pPr>
        <w:pStyle w:val="BodyText"/>
        <w:tabs>
          <w:tab w:pos="4505" w:val="left" w:leader="none"/>
          <w:tab w:pos="7290" w:val="left" w:leader="none"/>
          <w:tab w:pos="9282" w:val="left" w:leader="none"/>
        </w:tabs>
        <w:spacing w:before="6"/>
        <w:ind w:left="1388" w:right="132"/>
      </w:pPr>
      <w:r>
        <w:rPr/>
        <w:t>j) devolver o saldo não aplicado mediante depósito na conta bancária indicada pelo Concedente,</w:t>
        <w:tab/>
        <w:t>conforme</w:t>
        <w:tab/>
        <w:t>o</w:t>
        <w:tab/>
      </w:r>
      <w:r>
        <w:rPr>
          <w:spacing w:val="-1"/>
        </w:rPr>
        <w:t>caso. </w:t>
      </w:r>
      <w:r>
        <w:rPr/>
        <w:t>II</w:t>
      </w:r>
      <w:r>
        <w:rPr>
          <w:spacing w:val="21"/>
        </w:rPr>
        <w:t> </w:t>
      </w:r>
      <w:r>
        <w:rPr/>
        <w:t>-</w:t>
      </w:r>
      <w:r>
        <w:rPr>
          <w:spacing w:val="19"/>
        </w:rPr>
        <w:t> </w:t>
      </w:r>
      <w:r>
        <w:rPr/>
        <w:t>Para</w:t>
      </w:r>
      <w:r>
        <w:rPr>
          <w:spacing w:val="22"/>
        </w:rPr>
        <w:t> </w:t>
      </w:r>
      <w:r>
        <w:rPr/>
        <w:t>solução</w:t>
      </w:r>
      <w:r>
        <w:rPr>
          <w:spacing w:val="22"/>
        </w:rPr>
        <w:t> </w:t>
      </w:r>
      <w:r>
        <w:rPr/>
        <w:t>das</w:t>
      </w:r>
      <w:r>
        <w:rPr>
          <w:spacing w:val="20"/>
        </w:rPr>
        <w:t> </w:t>
      </w:r>
      <w:r>
        <w:rPr/>
        <w:t>pendências</w:t>
      </w:r>
      <w:r>
        <w:rPr>
          <w:spacing w:val="22"/>
        </w:rPr>
        <w:t> </w:t>
      </w:r>
      <w:r>
        <w:rPr/>
        <w:t>é</w:t>
      </w:r>
      <w:r>
        <w:rPr>
          <w:spacing w:val="20"/>
        </w:rPr>
        <w:t> </w:t>
      </w:r>
      <w:r>
        <w:rPr/>
        <w:t>eleito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foro</w:t>
      </w:r>
      <w:r>
        <w:rPr>
          <w:spacing w:val="20"/>
        </w:rPr>
        <w:t> </w:t>
      </w:r>
      <w:r>
        <w:rPr/>
        <w:t>da</w:t>
      </w:r>
      <w:r>
        <w:rPr>
          <w:spacing w:val="22"/>
        </w:rPr>
        <w:t> </w:t>
      </w:r>
      <w:r>
        <w:rPr/>
        <w:t>Comarca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Getúlio</w:t>
      </w:r>
      <w:r>
        <w:rPr>
          <w:spacing w:val="22"/>
        </w:rPr>
        <w:t> </w:t>
      </w:r>
      <w:r>
        <w:rPr>
          <w:spacing w:val="-3"/>
        </w:rPr>
        <w:t>Vargas,RS.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607" w:val="left" w:leader="none"/>
          <w:tab w:pos="4608" w:val="left" w:leader="none"/>
          <w:tab w:pos="8389" w:val="left" w:leader="none"/>
        </w:tabs>
        <w:spacing w:line="240" w:lineRule="auto" w:before="0" w:after="0"/>
        <w:ind w:left="1368" w:right="131" w:firstLine="20"/>
        <w:jc w:val="both"/>
        <w:rPr>
          <w:sz w:val="22"/>
        </w:rPr>
      </w:pPr>
      <w:r>
        <w:rPr>
          <w:b/>
          <w:sz w:val="22"/>
        </w:rPr>
        <w:t>Dotação</w:t>
        <w:tab/>
      </w:r>
      <w:r>
        <w:rPr>
          <w:b/>
          <w:spacing w:val="-1"/>
          <w:sz w:val="22"/>
        </w:rPr>
        <w:t>Orçamentária </w:t>
      </w:r>
      <w:r>
        <w:rPr>
          <w:sz w:val="22"/>
        </w:rPr>
        <w:t>As despesas decorrentes do presente convênio correrão por conta da seguinte dotação  </w:t>
      </w:r>
      <w:r>
        <w:rPr>
          <w:spacing w:val="58"/>
          <w:sz w:val="22"/>
        </w:rPr>
        <w:t> </w:t>
      </w:r>
      <w:r>
        <w:rPr>
          <w:sz w:val="22"/>
        </w:rPr>
        <w:t>orçamentária:</w:t>
      </w:r>
    </w:p>
    <w:p>
      <w:pPr>
        <w:pStyle w:val="BodyText"/>
        <w:spacing w:line="252" w:lineRule="exact" w:before="1"/>
        <w:ind w:left="1388"/>
      </w:pPr>
      <w:r>
        <w:rPr/>
        <w:t>08. SECRETARIA DE EDUCAÇÃO, CULTURA E DESPORTO</w:t>
      </w:r>
    </w:p>
    <w:p>
      <w:pPr>
        <w:pStyle w:val="BodyText"/>
        <w:tabs>
          <w:tab w:pos="3526" w:val="left" w:leader="none"/>
          <w:tab w:pos="4105" w:val="left" w:leader="none"/>
          <w:tab w:pos="6176" w:val="left" w:leader="none"/>
          <w:tab w:pos="6976" w:val="left" w:leader="none"/>
          <w:tab w:pos="8729" w:val="left" w:leader="none"/>
        </w:tabs>
        <w:spacing w:line="252" w:lineRule="exact"/>
        <w:ind w:left="1368"/>
      </w:pPr>
      <w:r>
        <w:rPr/>
        <w:t>1236700052.031</w:t>
        <w:tab/>
        <w:t>-</w:t>
        <w:tab/>
        <w:t>MANUTENÇÃO</w:t>
        <w:tab/>
        <w:t>DA</w:t>
        <w:tab/>
        <w:t>EDUCAÇÃO</w:t>
        <w:tab/>
        <w:t>ESPECIAL</w:t>
      </w:r>
    </w:p>
    <w:p>
      <w:pPr>
        <w:pStyle w:val="BodyText"/>
        <w:spacing w:before="1"/>
        <w:ind w:left="1388"/>
      </w:pPr>
      <w:r>
        <w:rPr/>
        <w:t>3.3.50.43.00.0000 – Subvenções Sociais</w:t>
      </w:r>
    </w:p>
    <w:p>
      <w:pPr>
        <w:pStyle w:val="BodyText"/>
      </w:pPr>
    </w:p>
    <w:p>
      <w:pPr>
        <w:pStyle w:val="Heading2"/>
        <w:ind w:left="1388"/>
        <w:jc w:val="left"/>
      </w:pPr>
      <w:r>
        <w:rPr/>
        <w:t>16. Local data:</w:t>
      </w:r>
    </w:p>
    <w:p>
      <w:pPr>
        <w:pStyle w:val="BodyText"/>
        <w:tabs>
          <w:tab w:pos="3948" w:val="left" w:leader="none"/>
          <w:tab w:pos="6574" w:val="left" w:leader="none"/>
        </w:tabs>
        <w:spacing w:line="252" w:lineRule="exact"/>
        <w:ind w:left="1368"/>
      </w:pPr>
      <w:r>
        <w:rPr/>
        <w:t>Getúlio</w:t>
        <w:tab/>
      </w:r>
      <w:r>
        <w:rPr>
          <w:spacing w:val="-3"/>
        </w:rPr>
        <w:t>Vargas,</w:t>
        <w:tab/>
      </w:r>
      <w:r>
        <w:rPr/>
        <w:t>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2" w:lineRule="exact"/>
        <w:ind w:left="3440"/>
      </w:pPr>
      <w:r>
        <w:rPr/>
        <w:t>Bel. PEDRO PAULO PREZZOTTO,</w:t>
      </w:r>
    </w:p>
    <w:p>
      <w:pPr>
        <w:pStyle w:val="BodyText"/>
        <w:spacing w:line="252" w:lineRule="exact"/>
        <w:ind w:left="905" w:right="2174"/>
        <w:jc w:val="center"/>
      </w:pPr>
      <w:r>
        <w:rPr/>
        <w:t>Prefeito Municipal.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ind w:left="3406" w:right="2174"/>
        <w:jc w:val="center"/>
      </w:pPr>
      <w:r>
        <w:rPr/>
        <w:t>..........................................</w:t>
      </w:r>
    </w:p>
    <w:p>
      <w:pPr>
        <w:pStyle w:val="BodyText"/>
        <w:spacing w:before="1"/>
        <w:ind w:left="3409" w:right="2174"/>
        <w:jc w:val="center"/>
      </w:pPr>
      <w:r>
        <w:rPr/>
        <w:t>ASSOCIAÇÃO AQUARELA PRÓ-AUTISTA,</w:t>
      </w:r>
    </w:p>
    <w:sectPr>
      <w:pgSz w:w="11900" w:h="16840"/>
      <w:pgMar w:header="973" w:footer="0" w:top="2160" w:bottom="280" w:left="9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0.060066pt;margin-top:48.660065pt;width:60pt;height:60.1pt;mso-position-horizontal-relative:page;mso-position-vertical-relative:page;z-index:-5920" coordorigin="1001,973" coordsize="1200,1202">
          <v:shape style="position:absolute;left:1068;top:1768;width:94;height:104" coordorigin="1068,1768" coordsize="94,104" path="m1090,1768l1090,1770,1088,1772,1088,1774,1086,1774,1084,1776,1068,1776,1076,1788,1078,1794,1090,1812,1092,1816,1098,1822,1110,1840,1120,1850,1124,1856,1134,1866,1162,1872,1156,1866,1152,1860,1144,1854,1140,1848,1134,1842,1130,1836,1124,1830,1120,1822,1116,1820,1114,1816,1112,1814,1106,1802,1104,1800,1100,1792,1100,1790,1096,1782,1094,1780,1092,1776,1092,1772,1090,1768xe" filled="true" fillcolor="#00913f" stroked="false">
            <v:path arrowok="t"/>
            <v:fill type="solid"/>
          </v:shape>
          <v:shape style="position:absolute;left:1068;top:1768;width:94;height:104" coordorigin="1068,1768" coordsize="94,104" path="m1162,1872l1156,1866,1152,1860,1144,1854,1140,1848,1134,1842,1130,1836,1126,1832,1124,1830,1122,1826,1120,1822,1116,1820,1114,1816,1112,1814,1110,1810,1108,1806,1106,1802,1104,1800,1102,1796,1100,1792,1100,1790,1098,1786,1096,1782,1094,1780,1092,1776,1092,1772,1090,1768,1090,1770,1088,1772,1088,1774,1086,1774,1084,1776,1082,1776,1080,1776,1068,1776,1072,1782,1076,1788,1078,1794,1082,1800,1086,1806,1090,1812,1092,1816,1098,1822,1102,1828,1106,1834,1110,1840,1114,1844,1120,1850,1124,1856,1130,1862,1134,1866,1162,1872xe" filled="false" stroked="true" strokeweight=".27987pt" strokecolor="#1e1916">
            <v:path arrowok="t"/>
          </v:shape>
          <v:shape style="position:absolute;left:1907;top:1383;width:294;height:524" type="#_x0000_t75" stroked="false">
            <v:imagedata r:id="rId1" o:title=""/>
          </v:shape>
          <v:shape style="position:absolute;left:1117;top:1340;width:825;height:624" type="#_x0000_t75" stroked="false">
            <v:imagedata r:id="rId2" o:title=""/>
          </v:shape>
          <v:shape style="position:absolute;left:1265;top:1340;width:677;height:621" type="#_x0000_t75" stroked="false">
            <v:imagedata r:id="rId3" o:title=""/>
          </v:shape>
          <v:shape style="position:absolute;left:1029;top:1775;width:1144;height:400" type="#_x0000_t75" stroked="false">
            <v:imagedata r:id="rId4" o:title=""/>
          </v:shape>
          <v:shape style="position:absolute;left:1046;top:1912;width:288;height:144" type="#_x0000_t75" stroked="false">
            <v:imagedata r:id="rId5" o:title=""/>
          </v:shape>
          <v:shape style="position:absolute;left:1044;top:1920;width:1116;height:164" type="#_x0000_t75" stroked="false">
            <v:imagedata r:id="rId6" o:title=""/>
          </v:shape>
          <v:shape style="position:absolute;left:1291;top:1353;width:611;height:258" type="#_x0000_t75" stroked="false">
            <v:imagedata r:id="rId7" o:title=""/>
          </v:shape>
          <v:shape style="position:absolute;left:1297;top:1662;width:583;height:208" type="#_x0000_t75" stroked="false">
            <v:imagedata r:id="rId8" o:title=""/>
          </v:shape>
          <v:shape style="position:absolute;left:1434;top:1004;width:316;height:34" coordorigin="1434,1004" coordsize="316,34" path="m1434,1016l1440,1014,1446,1014,1452,1012,1460,1010,1466,1010,1474,1010,1484,1008,1492,1008,1500,1006,1510,1006,1518,1006,1528,1006,1538,1004,1548,1004,1558,1004,1570,1004,1580,1004,1592,1004,1602,1004,1614,1004,1624,1004,1636,1006,1648,1006,1658,1006,1670,1006,1682,1008,1694,1008,1704,1010,1716,1010,1728,1012,1738,1014,1750,1014m1464,1038l1470,1038,1478,1038,1486,1036,1494,1036,1502,1034,1510,1034,1516,1034,1524,1032,1532,1032,1540,1032,1548,1032,1556,1032,1564,1032,1572,1032,1580,1030,1588,1030,1596,1030,1604,1030,1612,1030,1620,1032,1630,1032,1638,1032,1646,1032,1654,1032,1662,1034,1672,1034,1680,1034,1688,1034,1698,1036,1706,1038,1714,1038,1724,1038e" filled="false" stroked="true" strokeweight=".27987pt" strokecolor="#1e1916">
            <v:path arrowok="t"/>
          </v:shape>
          <v:shape style="position:absolute;left:1176;top:973;width:856;height:331" type="#_x0000_t75" stroked="false">
            <v:imagedata r:id="rId9" o:title=""/>
          </v:shape>
          <v:shape style="position:absolute;left:1562;top:988;width:70;height:52" coordorigin="1562,988" coordsize="70,52" path="m1606,1022l1586,1022,1586,1040,1606,1040,1606,1022xm1632,1006l1562,1006,1562,1022,1632,1022,1632,1006xm1606,988l1586,988,1586,1006,1606,1006,1606,988xe" filled="true" fillcolor="#ffffff" stroked="false">
            <v:path arrowok="t"/>
            <v:fill type="solid"/>
          </v:shape>
          <v:shape style="position:absolute;left:1562;top:988;width:70;height:52" coordorigin="1562,988" coordsize="70,52" path="m1586,1040l1586,1022,1562,1022,1562,1006,1586,1006,1586,988,1606,988,1606,1006,1632,1006,1632,1022,1606,1022,1606,1040,1586,1040xe" filled="false" stroked="true" strokeweight=".27987pt" strokecolor="#1e1916">
            <v:path arrowok="t"/>
          </v:shape>
          <v:shape style="position:absolute;left:1258;top:1198;width:684;height:766" type="#_x0000_t75" stroked="false">
            <v:imagedata r:id="rId10" o:title=""/>
          </v:shape>
          <v:shape style="position:absolute;left:1001;top:1373;width:142;height:408" type="#_x0000_t75" stroked="false">
            <v:imagedata r:id="rId11" o:title=""/>
          </v:shape>
          <v:shape style="position:absolute;left:1201;top:979;width:800;height:252" type="#_x0000_t75" stroked="false">
            <v:imagedata r:id="rId12" o:title=""/>
          </v:shape>
          <v:shape style="position:absolute;left:1210;top:1956;width:804;height:112" type="#_x0000_t75" stroked="false">
            <v:imagedata r:id="rId13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300003pt;margin-top:49.534569pt;width:328.6pt;height:59.75pt;mso-position-horizontal-relative:page;mso-position-vertical-relative:page;z-index:-5896" type="#_x0000_t202" filled="false" stroked="false">
          <v:textbox inset="0,0,0,0">
            <w:txbxContent>
              <w:p>
                <w:pPr>
                  <w:spacing w:line="306" w:lineRule="exact" w:before="0"/>
                  <w:ind w:left="0" w:right="0" w:firstLine="0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PREFEITURA </w:t>
                </w:r>
                <w:r>
                  <w:rPr>
                    <w:rFonts w:ascii="Times New Roman" w:hAnsi="Times New Roman"/>
                    <w:b/>
                    <w:spacing w:val="-3"/>
                    <w:sz w:val="28"/>
                  </w:rPr>
                  <w:t>MUNICIPAL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 GETÚLIO </w:t>
                </w:r>
                <w:r>
                  <w:rPr>
                    <w:rFonts w:ascii="Times New Roman" w:hAnsi="Times New Roman"/>
                    <w:b/>
                    <w:spacing w:val="-7"/>
                    <w:sz w:val="28"/>
                  </w:rPr>
                  <w:t>VARGAS</w:t>
                </w:r>
              </w:p>
              <w:p>
                <w:pPr>
                  <w:spacing w:line="322" w:lineRule="exact" w:before="0"/>
                  <w:ind w:left="1" w:right="0" w:firstLine="0"/>
                  <w:jc w:val="center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Av Firmino Girardello, 85</w:t>
                </w:r>
              </w:p>
              <w:p>
                <w:pPr>
                  <w:spacing w:before="0"/>
                  <w:ind w:left="957" w:right="952" w:firstLine="0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Getúlio Vargas - Rio grande do Sul - 99900-000 </w:t>
                </w:r>
                <w:hyperlink r:id="rId14">
                  <w:r>
                    <w:rPr>
                      <w:rFonts w:ascii="Times New Roman" w:hAnsi="Times New Roman"/>
                      <w:sz w:val="24"/>
                    </w:rPr>
                    <w:t>pmgv@itake.com.br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1368" w:hanging="27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16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2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8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4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0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6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8" w:hanging="276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1368" w:hanging="362"/>
        <w:jc w:val="left"/>
      </w:pPr>
      <w:rPr>
        <w:rFonts w:hint="default" w:ascii="Arial" w:hAnsi="Arial" w:eastAsia="Arial" w:cs="Arial"/>
        <w:b/>
        <w:bCs/>
        <w:spacing w:val="-17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16" w:hanging="3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2" w:hanging="3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8" w:hanging="3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4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0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6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8" w:hanging="362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1368" w:hanging="290"/>
        <w:jc w:val="left"/>
      </w:pPr>
      <w:rPr>
        <w:rFonts w:hint="default" w:ascii="Arial" w:hAnsi="Arial" w:eastAsia="Arial" w:cs="Arial"/>
        <w:b/>
        <w:bCs/>
        <w:spacing w:val="-26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216" w:hanging="2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2" w:hanging="2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8" w:hanging="2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4" w:hanging="2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40" w:hanging="2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6" w:hanging="2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2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8" w:hanging="29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368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line="252" w:lineRule="exact"/>
      <w:ind w:left="1368"/>
      <w:jc w:val="both"/>
      <w:outlineLvl w:val="2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368" w:firstLine="2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hyperlink" Target="mailto:pmgv@itak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2016-04-01T13:04:33Z</dcterms:created>
  <dcterms:modified xsi:type="dcterms:W3CDTF">2016-04-01T13:04:33Z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