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24130</wp:posOffset>
            </wp:positionH>
            <wp:positionV relativeFrom="paragraph">
              <wp:posOffset>5080</wp:posOffset>
            </wp:positionV>
            <wp:extent cx="2247900" cy="835025"/>
            <wp:effectExtent b="0" l="0" r="0" t="0"/>
            <wp:wrapSquare wrapText="bothSides" distB="0" distT="0" distL="0" distR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005/2024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14 de março,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(Poderr Legislativo de Getúlio Vargas);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Confira as decisões da Sessão de ontem (29/02) nas redes sociais e site da Câmara.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fevereiro de 2024.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iyXeY7PgLDPSJXLk+1ER3bPXg==">CgMxLjA4AHIhMTRlYUxPWjlsRTFPMHpZYk83bDFObDZib0hfQ3ZpN05h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