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34"/>
        <w:ind w:right="34"/>
      </w:pPr>
      <w:r>
        <w:rPr/>
        <w:t>PREFEITURA MUNICIPAL DE GETÚLIO VARGAS</w:t>
      </w:r>
    </w:p>
    <w:p>
      <w:pPr>
        <w:spacing w:line="322" w:lineRule="exact" w:before="0"/>
        <w:ind w:left="2437" w:right="32" w:firstLine="0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Av Firmino Girardello, 85</w:t>
      </w:r>
    </w:p>
    <w:p>
      <w:pPr>
        <w:spacing w:before="0"/>
        <w:ind w:left="3443" w:right="1034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Getúlio Vargas - Rio grande do Sul - 99900-000 </w:t>
      </w:r>
      <w:hyperlink r:id="rId5">
        <w:r>
          <w:rPr>
            <w:rFonts w:ascii="Times New Roman" w:hAnsi="Times New Roman"/>
            <w:sz w:val="24"/>
          </w:rPr>
          <w:t>pmgv@itake.com.br</w:t>
        </w:r>
      </w:hyperlink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0"/>
        <w:rPr>
          <w:rFonts w:ascii="Times New Roman"/>
          <w:sz w:val="23"/>
        </w:rPr>
      </w:pPr>
    </w:p>
    <w:p>
      <w:pPr>
        <w:spacing w:before="0"/>
        <w:ind w:left="2448" w:right="27" w:firstLine="0"/>
        <w:jc w:val="left"/>
        <w:rPr>
          <w:b/>
          <w:sz w:val="24"/>
        </w:rPr>
      </w:pPr>
      <w:r>
        <w:rPr>
          <w:b/>
          <w:sz w:val="24"/>
          <w:u w:val="single"/>
        </w:rPr>
        <w:t>LEI Nº 5.125 DE 04  DE  MARÇO  DE 2016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7"/>
        </w:rPr>
      </w:pPr>
    </w:p>
    <w:p>
      <w:pPr>
        <w:pStyle w:val="BodyText"/>
        <w:spacing w:before="72"/>
        <w:ind w:left="5136" w:right="111" w:firstLine="4"/>
        <w:jc w:val="both"/>
      </w:pPr>
      <w:r>
        <w:rPr/>
        <w:t>Estabelece o índice para reposição salarial dos servidores do Poder Executivo, aposentados e pensionistas.</w:t>
      </w:r>
    </w:p>
    <w:p>
      <w:pPr>
        <w:pStyle w:val="BodyText"/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608" w:right="116" w:firstLine="2268"/>
        <w:jc w:val="both"/>
      </w:pPr>
      <w:r>
        <w:rPr/>
        <w:t>Bel. PEDRO </w:t>
      </w:r>
      <w:r>
        <w:rPr>
          <w:spacing w:val="-4"/>
        </w:rPr>
        <w:t>PAULO</w:t>
      </w:r>
      <w:r>
        <w:rPr>
          <w:spacing w:val="53"/>
        </w:rPr>
        <w:t> </w:t>
      </w:r>
      <w:r>
        <w:rPr/>
        <w:t>PREZZOTTO, Prefeito Municipal de Getúlio </w:t>
      </w:r>
      <w:r>
        <w:rPr>
          <w:spacing w:val="-3"/>
        </w:rPr>
        <w:t>Vargas, </w:t>
      </w:r>
      <w:r>
        <w:rPr/>
        <w:t>Estado do Rio Grande do Sul, faço saber que a Câmara Municipal de Vereadores aprovou e eu sanciono e promulgo a seguinte Lei:</w:t>
      </w:r>
    </w:p>
    <w:p>
      <w:pPr>
        <w:pStyle w:val="BodyText"/>
        <w:spacing w:before="1"/>
        <w:ind w:left="608" w:right="110" w:firstLine="2268"/>
        <w:jc w:val="both"/>
      </w:pPr>
      <w:r>
        <w:rPr/>
        <w:t>Art. 1º Fica concedido reposição salarial de 10,5%, sobre o vencimento básico, aos servidores do Poder Executivo, incluindo os membros do Magistério Público Municipal, sob regime estatutário e celetista, bem como contratados por prazo determinado, exceto agentes políticos, titulares de mandatos eletivos e Secretários Municipais, extensiva aos aposentados e pensionistas com direito a paridade, retroativo ao dia 01 (primeiro) de março de 2016.</w:t>
      </w:r>
    </w:p>
    <w:p>
      <w:pPr>
        <w:pStyle w:val="BodyText"/>
        <w:spacing w:before="1"/>
        <w:ind w:left="608" w:right="117" w:firstLine="2268"/>
        <w:jc w:val="both"/>
      </w:pPr>
      <w:r>
        <w:rPr/>
        <w:t>Art. 2º Aos aposentados e pensionistas reajustados pelo valor real cuja previsão legal segue os mesmos índices dos benefícios do RGPS - Regime Geral da Previdência Social, a reposição será concedido de acordo com as respectivas datas de início do benefício, conforme os seguintes índices: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010" w:val="left" w:leader="none"/>
        </w:tabs>
        <w:spacing w:line="240" w:lineRule="auto" w:before="0" w:after="0"/>
        <w:ind w:left="3009" w:right="0" w:hanging="133"/>
        <w:jc w:val="left"/>
        <w:rPr>
          <w:sz w:val="22"/>
        </w:rPr>
      </w:pPr>
      <w:r>
        <w:rPr>
          <w:sz w:val="22"/>
        </w:rPr>
        <w:t>até janeiro de 2015: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11,28%</w:t>
      </w:r>
    </w:p>
    <w:p>
      <w:pPr>
        <w:pStyle w:val="ListParagraph"/>
        <w:numPr>
          <w:ilvl w:val="0"/>
          <w:numId w:val="1"/>
        </w:numPr>
        <w:tabs>
          <w:tab w:pos="3010" w:val="left" w:leader="none"/>
        </w:tabs>
        <w:spacing w:line="252" w:lineRule="exact" w:before="1" w:after="0"/>
        <w:ind w:left="3009" w:right="0" w:hanging="133"/>
        <w:jc w:val="left"/>
        <w:rPr>
          <w:sz w:val="22"/>
        </w:rPr>
      </w:pPr>
      <w:r>
        <w:rPr>
          <w:sz w:val="22"/>
        </w:rPr>
        <w:t>em fevereiro de 2015:</w:t>
      </w:r>
      <w:r>
        <w:rPr>
          <w:spacing w:val="-13"/>
          <w:sz w:val="22"/>
        </w:rPr>
        <w:t> </w:t>
      </w:r>
      <w:r>
        <w:rPr>
          <w:sz w:val="22"/>
        </w:rPr>
        <w:t>9,65%</w:t>
      </w:r>
    </w:p>
    <w:p>
      <w:pPr>
        <w:pStyle w:val="ListParagraph"/>
        <w:numPr>
          <w:ilvl w:val="0"/>
          <w:numId w:val="1"/>
        </w:numPr>
        <w:tabs>
          <w:tab w:pos="3010" w:val="left" w:leader="none"/>
        </w:tabs>
        <w:spacing w:line="252" w:lineRule="exact" w:before="0" w:after="0"/>
        <w:ind w:left="3009" w:right="0" w:hanging="133"/>
        <w:jc w:val="left"/>
        <w:rPr>
          <w:sz w:val="22"/>
        </w:rPr>
      </w:pPr>
      <w:r>
        <w:rPr>
          <w:sz w:val="22"/>
        </w:rPr>
        <w:t>em março de 2015:</w:t>
      </w:r>
      <w:r>
        <w:rPr>
          <w:spacing w:val="-11"/>
          <w:sz w:val="22"/>
        </w:rPr>
        <w:t> </w:t>
      </w:r>
      <w:r>
        <w:rPr>
          <w:sz w:val="22"/>
        </w:rPr>
        <w:t>8,4%</w:t>
      </w:r>
    </w:p>
    <w:p>
      <w:pPr>
        <w:pStyle w:val="BodyText"/>
        <w:spacing w:line="252" w:lineRule="exact" w:before="1"/>
        <w:ind w:left="2876" w:right="27"/>
      </w:pPr>
      <w:r>
        <w:rPr/>
        <w:t>- em abril de 2015: 6,78%</w:t>
      </w:r>
    </w:p>
    <w:p>
      <w:pPr>
        <w:pStyle w:val="BodyText"/>
        <w:spacing w:line="252" w:lineRule="exact"/>
        <w:ind w:left="2876" w:right="27"/>
      </w:pPr>
      <w:r>
        <w:rPr/>
        <w:t>- em maio de 2015: 6,03%</w:t>
      </w:r>
    </w:p>
    <w:p>
      <w:pPr>
        <w:pStyle w:val="BodyText"/>
        <w:spacing w:line="252" w:lineRule="exact" w:before="1"/>
        <w:ind w:left="2876" w:right="27"/>
      </w:pPr>
      <w:r>
        <w:rPr/>
        <w:t>- em junho de 2015: 4,99%</w:t>
      </w:r>
    </w:p>
    <w:p>
      <w:pPr>
        <w:pStyle w:val="BodyText"/>
        <w:spacing w:line="252" w:lineRule="exact"/>
        <w:ind w:left="2876" w:right="27"/>
      </w:pPr>
      <w:r>
        <w:rPr/>
        <w:t>- em julho de 2015: 4,19%</w:t>
      </w:r>
    </w:p>
    <w:p>
      <w:pPr>
        <w:pStyle w:val="ListParagraph"/>
        <w:numPr>
          <w:ilvl w:val="0"/>
          <w:numId w:val="1"/>
        </w:numPr>
        <w:tabs>
          <w:tab w:pos="3010" w:val="left" w:leader="none"/>
        </w:tabs>
        <w:spacing w:line="252" w:lineRule="exact" w:before="1" w:after="0"/>
        <w:ind w:left="3009" w:right="0" w:hanging="133"/>
        <w:jc w:val="left"/>
        <w:rPr>
          <w:sz w:val="22"/>
        </w:rPr>
      </w:pPr>
      <w:r>
        <w:rPr>
          <w:sz w:val="22"/>
        </w:rPr>
        <w:t>em agosto de 2015:</w:t>
      </w:r>
      <w:r>
        <w:rPr>
          <w:spacing w:val="-12"/>
          <w:sz w:val="22"/>
        </w:rPr>
        <w:t> </w:t>
      </w:r>
      <w:r>
        <w:rPr>
          <w:sz w:val="22"/>
        </w:rPr>
        <w:t>3,59%</w:t>
      </w:r>
    </w:p>
    <w:p>
      <w:pPr>
        <w:pStyle w:val="ListParagraph"/>
        <w:numPr>
          <w:ilvl w:val="0"/>
          <w:numId w:val="1"/>
        </w:numPr>
        <w:tabs>
          <w:tab w:pos="3010" w:val="left" w:leader="none"/>
        </w:tabs>
        <w:spacing w:line="252" w:lineRule="exact" w:before="0" w:after="0"/>
        <w:ind w:left="3009" w:right="0" w:hanging="133"/>
        <w:jc w:val="left"/>
        <w:rPr>
          <w:sz w:val="22"/>
        </w:rPr>
      </w:pPr>
      <w:r>
        <w:rPr>
          <w:sz w:val="22"/>
        </w:rPr>
        <w:t>em setembro de 2015:</w:t>
      </w:r>
      <w:r>
        <w:rPr>
          <w:spacing w:val="-14"/>
          <w:sz w:val="22"/>
        </w:rPr>
        <w:t> </w:t>
      </w:r>
      <w:r>
        <w:rPr>
          <w:sz w:val="22"/>
        </w:rPr>
        <w:t>3,33%</w:t>
      </w:r>
    </w:p>
    <w:p>
      <w:pPr>
        <w:pStyle w:val="ListParagraph"/>
        <w:numPr>
          <w:ilvl w:val="0"/>
          <w:numId w:val="1"/>
        </w:numPr>
        <w:tabs>
          <w:tab w:pos="3010" w:val="left" w:leader="none"/>
        </w:tabs>
        <w:spacing w:line="252" w:lineRule="exact" w:before="1" w:after="0"/>
        <w:ind w:left="3009" w:right="0" w:hanging="133"/>
        <w:jc w:val="left"/>
        <w:rPr>
          <w:sz w:val="22"/>
        </w:rPr>
      </w:pPr>
      <w:r>
        <w:rPr>
          <w:sz w:val="22"/>
        </w:rPr>
        <w:t>em outubro de 2015:</w:t>
      </w:r>
      <w:r>
        <w:rPr>
          <w:spacing w:val="-13"/>
          <w:sz w:val="22"/>
        </w:rPr>
        <w:t> </w:t>
      </w:r>
      <w:r>
        <w:rPr>
          <w:sz w:val="22"/>
        </w:rPr>
        <w:t>2,81%</w:t>
      </w:r>
    </w:p>
    <w:p>
      <w:pPr>
        <w:pStyle w:val="ListParagraph"/>
        <w:numPr>
          <w:ilvl w:val="0"/>
          <w:numId w:val="1"/>
        </w:numPr>
        <w:tabs>
          <w:tab w:pos="3010" w:val="left" w:leader="none"/>
        </w:tabs>
        <w:spacing w:line="252" w:lineRule="exact" w:before="0" w:after="0"/>
        <w:ind w:left="3009" w:right="0" w:hanging="133"/>
        <w:jc w:val="left"/>
        <w:rPr>
          <w:sz w:val="22"/>
        </w:rPr>
      </w:pPr>
      <w:r>
        <w:rPr>
          <w:sz w:val="22"/>
        </w:rPr>
        <w:t>em novembro de 2015:</w:t>
      </w:r>
      <w:r>
        <w:rPr>
          <w:spacing w:val="-13"/>
          <w:sz w:val="22"/>
        </w:rPr>
        <w:t> </w:t>
      </w:r>
      <w:r>
        <w:rPr>
          <w:sz w:val="22"/>
        </w:rPr>
        <w:t>2,02%</w:t>
      </w:r>
    </w:p>
    <w:p>
      <w:pPr>
        <w:pStyle w:val="ListParagraph"/>
        <w:numPr>
          <w:ilvl w:val="0"/>
          <w:numId w:val="1"/>
        </w:numPr>
        <w:tabs>
          <w:tab w:pos="3647" w:val="left" w:leader="none"/>
          <w:tab w:pos="3648" w:val="left" w:leader="none"/>
          <w:tab w:pos="4651" w:val="left" w:leader="none"/>
          <w:tab w:pos="6328" w:val="left" w:leader="none"/>
          <w:tab w:pos="7271" w:val="left" w:leader="none"/>
          <w:tab w:pos="8521" w:val="left" w:leader="none"/>
        </w:tabs>
        <w:spacing w:line="240" w:lineRule="auto" w:before="1" w:after="0"/>
        <w:ind w:left="3647" w:right="0" w:hanging="771"/>
        <w:jc w:val="left"/>
        <w:rPr>
          <w:sz w:val="22"/>
        </w:rPr>
      </w:pPr>
      <w:r>
        <w:rPr>
          <w:sz w:val="22"/>
        </w:rPr>
        <w:t>em</w:t>
        <w:tab/>
        <w:t>dezembro</w:t>
        <w:tab/>
        <w:t>de</w:t>
        <w:tab/>
        <w:t>2015:</w:t>
        <w:tab/>
        <w:t>0,9%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608" w:right="27" w:firstLine="2268"/>
      </w:pPr>
      <w:r>
        <w:rPr/>
        <w:t>Art. 3º As despesas decorrentes serão atendidas pelas dotações próprias do orçamento para o ano de 2016.</w:t>
      </w:r>
    </w:p>
    <w:p>
      <w:pPr>
        <w:pStyle w:val="BodyText"/>
        <w:ind w:left="608" w:right="27" w:firstLine="2268"/>
      </w:pPr>
      <w:r>
        <w:rPr/>
        <w:t>Art. 4º Esta Lei entra em vigor na data de sua publicação, retroagindo seus efeitos à 01 de março de 2016.</w:t>
      </w:r>
    </w:p>
    <w:p>
      <w:pPr>
        <w:pStyle w:val="BodyText"/>
      </w:pPr>
    </w:p>
    <w:p>
      <w:pPr>
        <w:pStyle w:val="BodyText"/>
        <w:ind w:left="343" w:right="1034"/>
        <w:jc w:val="center"/>
      </w:pPr>
      <w:r>
        <w:rPr/>
        <w:t>PREFEITURA MUNICIPAL DE GETÚLIO VARGAS, 04 de março de 2016.</w:t>
      </w:r>
    </w:p>
    <w:p>
      <w:pPr>
        <w:pStyle w:val="BodyText"/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2864" w:right="27"/>
      </w:pPr>
      <w:r>
        <w:rPr/>
        <w:t>Bel. PEDRO PAULO PREZZOTTO,</w:t>
      </w:r>
    </w:p>
    <w:p>
      <w:pPr>
        <w:pStyle w:val="BodyText"/>
        <w:spacing w:before="1"/>
        <w:ind w:left="2864" w:right="27"/>
      </w:pPr>
      <w:r>
        <w:rPr/>
        <w:t>Prefeito Municipal.</w:t>
      </w:r>
    </w:p>
    <w:p>
      <w:pPr>
        <w:pStyle w:val="BodyText"/>
      </w:pPr>
    </w:p>
    <w:p>
      <w:pPr>
        <w:pStyle w:val="BodyText"/>
        <w:tabs>
          <w:tab w:pos="4690" w:val="left" w:leader="none"/>
          <w:tab w:pos="7828" w:val="left" w:leader="none"/>
        </w:tabs>
        <w:ind w:left="551" w:right="27"/>
      </w:pPr>
      <w:r>
        <w:rPr/>
        <w:t>Registre-se</w:t>
        <w:tab/>
        <w:t>e</w:t>
        <w:tab/>
        <w:t>publique-se.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2864" w:right="27"/>
      </w:pPr>
      <w:r>
        <w:rPr/>
        <w:t>JULIANO NARDI,</w:t>
      </w:r>
    </w:p>
    <w:p>
      <w:pPr>
        <w:pStyle w:val="BodyText"/>
        <w:spacing w:before="1"/>
        <w:ind w:left="2864" w:right="27"/>
      </w:pPr>
      <w:r>
        <w:rPr/>
        <w:t>Secretário de Administração.</w:t>
      </w:r>
    </w:p>
    <w:sectPr>
      <w:type w:val="continuous"/>
      <w:pgSz w:w="11900" w:h="16840"/>
      <w:pgMar w:top="940" w:bottom="280" w:left="16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-"/>
      <w:lvlJc w:val="left"/>
      <w:pPr>
        <w:ind w:left="3009" w:hanging="134"/>
      </w:pPr>
      <w:rPr>
        <w:rFonts w:hint="default" w:ascii="Arial" w:hAnsi="Arial" w:eastAsia="Arial" w:cs="Aria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3614" w:hanging="13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228" w:hanging="13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842" w:hanging="13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56" w:hanging="13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70" w:hanging="1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84" w:hanging="1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98" w:hanging="1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2" w:hanging="13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2437" w:right="32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>
      <w:spacing w:line="252" w:lineRule="exact"/>
      <w:ind w:left="3009" w:hanging="133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mgv@itake.com.br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2016-04-01T13:30:59Z</dcterms:created>
  <dcterms:modified xsi:type="dcterms:W3CDTF">2016-04-01T13:30:59Z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2016-03-09T00:00:00Z</vt:filetime>
  </property>
  <property fmtid="{D5CDD505-2E9C-101B-9397-08002B2CF9AE}" pid="3" name="Creator">
    <vt:lpwstr>Writer</vt:lpwstr>
  </property>
  <property fmtid="{D5CDD505-2E9C-101B-9397-08002B2CF9AE}" pid="4" name="LastSaved">
    <vt:filetime>2016-04-01T00:00:00Z</vt:filetime>
  </property>
</Properties>
</file>