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-136525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4"/>
          <w:szCs w:val="24"/>
          <w:color w:val="auto"/>
        </w:rPr>
      </w:pPr>
    </w:p>
    <w:p>
      <w:pPr>
        <w:ind w:left="1760" w:right="2780" w:hanging="147"/>
        <w:spacing w:after="0" w:line="326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hyperlink r:id="rId9">
        <w:r>
          <w:rPr>
            <w:rFonts w:ascii="Arial" w:cs="Arial" w:eastAsia="Arial" w:hAnsi="Arial"/>
            <w:sz w:val="21"/>
            <w:szCs w:val="21"/>
            <w:u w:val="single" w:color="auto"/>
            <w:color w:val="0000FF"/>
          </w:rPr>
          <w:t>administracao@pmgv.rs.gov.br-</w:t>
        </w:r>
      </w:hyperlink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7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68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LEI Nº 5805 DE 16 DE ABRIL DE 2021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6520" w:val="left"/>
          <w:tab w:leader="none" w:pos="6920" w:val="left"/>
          <w:tab w:leader="none" w:pos="7980" w:val="left"/>
          <w:tab w:leader="none" w:pos="91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Cria</w:t>
        <w:tab/>
        <w:t>o</w:t>
        <w:tab/>
        <w:t>Conselho</w:t>
        <w:tab/>
        <w:t>Municipal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de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7680" w:val="left"/>
          <w:tab w:leader="none" w:pos="91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Desenvolvimento</w:t>
        <w:tab/>
        <w:t>Agropecuário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de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Getúlio Vargas – CDAGRO e dá outras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providências.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MAURICIO SOLIGO, Prefeito Municipal de Getúlio Vargas, Estado do Rio Grande do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Sul, faz saber que a Câmara Municipal de Vereadores aprovou e ele sanciona a promulga a seguinte Lei: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1º É criado o Conselho Municipal de Desenvolvimento Agropecuário de Getúlio Vargas – CDAGRO, como órgão de cooperação governamental, com a finalidade de assessorar a administração na orientação, planejamento, interpretação e julgamento da matéria de sua competência.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Parágrafo único. O CDAGRO é vinculado diretamente a Secretaria de Desenvolvimento</w:t>
      </w:r>
    </w:p>
    <w:p>
      <w:pPr>
        <w:spacing w:after="0" w:line="4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Econômico.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2º Compete ao CDAGRO: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– orientar e promover o desenvolvimento agropecuário;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II – sugerir aos poderes públicos e privados estudos para solucionar problemas ligados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ao setor primário;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60" w:right="20" w:firstLine="1714"/>
        <w:spacing w:after="0" w:line="254" w:lineRule="auto"/>
        <w:tabs>
          <w:tab w:leader="none" w:pos="2179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– incentivar e orientar o aprimoramento da consciência associativa e da capacidade técnico-profissional dos setores prioritários para o desenvolvimento agropecuário,;</w:t>
      </w:r>
    </w:p>
    <w:p>
      <w:pPr>
        <w:ind w:left="198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IV – promover reuniões periódicas para discutir ações de desenvolvimento do setor no</w:t>
      </w:r>
    </w:p>
    <w:p>
      <w:pPr>
        <w:spacing w:after="0" w:line="37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6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município;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60" w:right="20" w:firstLine="1710"/>
        <w:spacing w:after="0" w:line="254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 – promover debates de interesse ao produtor agropecuário, proporcionando uma melhoria da qualidade de vida e do nível de renda das famílias rurais;</w:t>
      </w:r>
    </w:p>
    <w:p>
      <w:pPr>
        <w:ind w:left="198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VI – Estimular a busca pelo conhecimento, elevando o nível cultural e técnico do</w:t>
      </w:r>
    </w:p>
    <w:p>
      <w:pPr>
        <w:spacing w:after="0" w:line="26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6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produtor rural;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60" w:right="20" w:firstLine="1710"/>
        <w:spacing w:after="0" w:line="254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VII - Incentivar a participação ampla desta categoria, na solução dos problemas básicos e correlatos à atividade agropecuária;</w:t>
      </w:r>
    </w:p>
    <w:p>
      <w:pPr>
        <w:ind w:left="260" w:right="20" w:firstLine="1710"/>
        <w:spacing w:after="0" w:line="254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VIII – Sugerir estudos técnicos que permitam a tomada de decisões relativas ao desenvolvimento e a geração do bem estar da comunidade rural;</w:t>
      </w:r>
    </w:p>
    <w:p>
      <w:pPr>
        <w:ind w:left="260" w:right="20" w:firstLine="1710"/>
        <w:spacing w:after="0" w:line="254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IX – Convidar entidades que desenvolvem trabalhos relacionados à atividade agropecuária para fazerem parte das ações desenvolvidas pelo setor;</w:t>
      </w:r>
    </w:p>
    <w:p>
      <w:pPr>
        <w:ind w:left="260" w:right="20" w:firstLine="1710"/>
        <w:spacing w:after="0" w:line="254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X - Buscar recursos junto aos órgãos estaduais e federais para projetos destinados ao desenvolvimento da atividade agropecuária no Município;</w:t>
      </w:r>
    </w:p>
    <w:p>
      <w:pPr>
        <w:ind w:left="198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XI - incentivar o intercâmbio com outras entidades similares no âmbito regional,</w:t>
      </w:r>
    </w:p>
    <w:p>
      <w:pPr>
        <w:spacing w:after="0" w:line="26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6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estadual e federal;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60" w:right="20" w:firstLine="1710"/>
        <w:spacing w:after="0" w:line="279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XII - contribuir com a organização global dos estabelecimentos rurais e a racionalização do uso das fontes de produção.</w:t>
      </w: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ind w:left="260" w:firstLine="171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3º O Conselho Municipal de Desenvolvimento Agropecuário compor-se-á de 17 (dezessete) membros nomeados pelo Chefe do Poder Executivo Municipal, sendo: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- Seis representantes do Poder executivo: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180" w:hanging="206"/>
        <w:spacing w:after="0"/>
        <w:tabs>
          <w:tab w:leader="none" w:pos="2180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o Prefeito do Município ou um representante indicado por ele;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200" w:hanging="226"/>
        <w:spacing w:after="0"/>
        <w:tabs>
          <w:tab w:leader="none" w:pos="2200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Secretaria Municipal de Desenvolvimento Econômico;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180" w:hanging="206"/>
        <w:spacing w:after="0"/>
        <w:tabs>
          <w:tab w:leader="none" w:pos="2180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Secretaria Municipal da Fazenda;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200" w:hanging="226"/>
        <w:spacing w:after="0"/>
        <w:tabs>
          <w:tab w:leader="none" w:pos="2200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Secretaria Municipal de Meio Ambiente;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180" w:hanging="206"/>
        <w:spacing w:after="0"/>
        <w:tabs>
          <w:tab w:leader="none" w:pos="2180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Secretaria Municipal de Obras, Viação e Serviços;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1980" w:right="320" w:hanging="6"/>
        <w:spacing w:after="0" w:line="254" w:lineRule="auto"/>
        <w:tabs>
          <w:tab w:leader="none" w:pos="2157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Secretaria Municipal da Saúde e Assistência Social – Setor de Vigilância Sanitária; II - representante da Câmara Municipal de Vereadores;</w:t>
      </w:r>
    </w:p>
    <w:p>
      <w:pPr>
        <w:ind w:left="198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III - representante do Escritório Municipal da Emater/Ascar;</w:t>
      </w:r>
    </w:p>
    <w:p>
      <w:pPr>
        <w:sectPr>
          <w:pgSz w:w="11900" w:h="16837" w:orient="portrait"/>
          <w:cols w:equalWidth="0" w:num="1">
            <w:col w:w="9340"/>
          </w:cols>
          <w:pgMar w:left="1440" w:top="642" w:right="1126" w:bottom="555" w:gutter="0" w:footer="0" w:header="0"/>
        </w:sectPr>
      </w:pPr>
    </w:p>
    <w:bookmarkStart w:id="1" w:name="page2"/>
    <w:bookmarkEnd w:id="1"/>
    <w:p>
      <w:pPr>
        <w:ind w:left="1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-136525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ind w:left="1760" w:right="2780" w:hanging="147"/>
        <w:spacing w:after="0" w:line="32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1"/>
          <w:szCs w:val="21"/>
          <w:u w:val="single" w:color="auto"/>
          <w:color w:val="0000FF"/>
        </w:rPr>
        <w:t>administracao@pmgv.rs.gov.br-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7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69" w:lineRule="exact"/>
        <w:rPr>
          <w:sz w:val="20"/>
          <w:szCs w:val="20"/>
          <w:color w:val="auto"/>
        </w:rPr>
      </w:pPr>
    </w:p>
    <w:p>
      <w:pPr>
        <w:ind w:left="1980" w:right="22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IV - representante do Centro Universitário IDEAU - UNIDEAU; V - representante do Sindicato Rural; VI - representante da Inspetoria Veterinária;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VII – representante do Sindicato Unificado dos Trabalhadores na Agricultura Familiar –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SUTRAF;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VIII – representante do Sicredi;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IX - Representante da CRESOL;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X - Representante da Associação dos Engenheiros Agrônomos;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XI - Representante da Associação Comercial, Cultural, Industrial, de Pecuária e de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Serviços – ACCIAS;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XII - representante da Câmara de Dirigentes Logistas de Getúlio Vargas – CDL.</w: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ind w:left="260" w:right="20" w:firstLine="1714"/>
        <w:spacing w:after="0" w:line="254" w:lineRule="auto"/>
        <w:tabs>
          <w:tab w:leader="none" w:pos="2140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1º Cada uma das entidades e/ou secretarias municipais indicará um representante com seu respectivo suplente.</w:t>
      </w:r>
    </w:p>
    <w:p>
      <w:pPr>
        <w:ind w:left="260" w:right="20" w:firstLine="1714"/>
        <w:spacing w:after="0" w:line="254" w:lineRule="auto"/>
        <w:tabs>
          <w:tab w:leader="none" w:pos="2168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2º Outras entidades que vierem a ser criadas poderão passar a fazer parte do CDAGRO, mediante autorização legislativa.</w:t>
      </w:r>
    </w:p>
    <w:p>
      <w:pPr>
        <w:ind w:left="260" w:right="20" w:firstLine="1714"/>
        <w:spacing w:after="0" w:line="254" w:lineRule="auto"/>
        <w:tabs>
          <w:tab w:leader="none" w:pos="2200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3º O mandato dos conselheiros terá duração de 2 (dois) anos, admitida a recondução, limitada a duas vezes.</w:t>
      </w:r>
    </w:p>
    <w:p>
      <w:pPr>
        <w:ind w:left="260" w:right="20" w:firstLine="1714"/>
        <w:spacing w:after="0" w:line="254" w:lineRule="auto"/>
        <w:tabs>
          <w:tab w:leader="none" w:pos="2166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4º O Conselho Municipal de Desenvolvimento Agropecuário será presidido pelo Secretário Municipal de Desenvolvimento Econômico.</w:t>
      </w:r>
    </w:p>
    <w:p>
      <w:pPr>
        <w:jc w:val="both"/>
        <w:ind w:left="260" w:firstLine="1714"/>
        <w:spacing w:after="0" w:line="254" w:lineRule="auto"/>
        <w:tabs>
          <w:tab w:leader="none" w:pos="2126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5º O Vice-Presidente e o Secretário do CDAGRO serão eleitos por seus membros por 2 (dois) anos, devendo a escolha recair sobre um dos representantes arrolados neste artigo, permitida a reeleição.</w:t>
      </w:r>
    </w:p>
    <w:p>
      <w:pPr>
        <w:spacing w:after="0" w:line="1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jc w:val="both"/>
        <w:ind w:left="260" w:right="20" w:firstLine="1714"/>
        <w:spacing w:after="0" w:line="267" w:lineRule="auto"/>
        <w:tabs>
          <w:tab w:leader="none" w:pos="2138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6º O membro suplente atuará, na ausência do titular, podendo participar de todas as reuniões do CDAGRO, discutir a matéria em pauta, sem direito a voto, a não ser nos casos de ausência do titular.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1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4º O desempenho da função de membro do Conselho Municipal de Desenvolvimento Agropecuário será gratuito e considerado de relevância para o Município.</w:t>
      </w: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1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5º As atribuições dos membros do CDAGRO serão definidas no seu regimento interno, uma vez constituído o presente Conselho, relativamente a suas atividades, critérios para funcionamento, competência, atribuições e outras providências.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1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6º Esta Lei entra em vigor na data de sua aplicação, revogada a Lei Municipal n.º 4.175 de 20/04/2010.</w:t>
      </w: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3" w:lineRule="exact"/>
        <w:rPr>
          <w:sz w:val="20"/>
          <w:szCs w:val="20"/>
          <w:color w:val="auto"/>
        </w:rPr>
      </w:pPr>
    </w:p>
    <w:p>
      <w:pPr>
        <w:ind w:left="1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Secretária de Administração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</w:p>
    <w:p>
      <w:pPr>
        <w:sectPr>
          <w:pgSz w:w="11900" w:h="16837" w:orient="portrait"/>
          <w:cols w:equalWidth="0" w:num="1">
            <w:col w:w="9340"/>
          </w:cols>
          <w:pgMar w:left="1440" w:top="642" w:right="1126" w:bottom="605" w:gutter="0" w:footer="0" w:header="0"/>
        </w:sect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Esta Lei foi afixada no Mural da Prefeitura,</w:t>
      </w:r>
    </w:p>
    <w:p>
      <w:pPr>
        <w:sectPr>
          <w:pgSz w:w="11900" w:h="16837" w:orient="portrait"/>
          <w:cols w:equalWidth="0" w:num="1">
            <w:col w:w="9340"/>
          </w:cols>
          <w:pgMar w:left="1440" w:top="642" w:right="1126" w:bottom="605" w:gutter="0" w:footer="0" w:header="0"/>
          <w:type w:val="continuous"/>
        </w:sectPr>
      </w:pPr>
    </w:p>
    <w:bookmarkStart w:id="2" w:name="page3"/>
    <w:bookmarkEnd w:id="2"/>
    <w:p>
      <w:pPr>
        <w:ind w:left="1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-136525</wp:posOffset>
            </wp:positionV>
            <wp:extent cx="782320" cy="10833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ind w:left="1760" w:right="2760" w:hanging="147"/>
        <w:spacing w:after="0" w:line="32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1"/>
          <w:szCs w:val="21"/>
          <w:u w:val="single" w:color="auto"/>
          <w:color w:val="0000FF"/>
        </w:rPr>
        <w:t>administracao@pmgv.rs.gov.br-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7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onde são divulgados os atos oficiais, por 15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dias a contar de 16/04/2021</w:t>
      </w:r>
    </w:p>
    <w:sectPr>
      <w:pgSz w:w="11900" w:h="16837" w:orient="portrait"/>
      <w:cols w:equalWidth="0" w:num="1">
        <w:col w:w="9320"/>
      </w:cols>
      <w:pgMar w:left="1440" w:top="642" w:right="114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6334873"/>
    <w:multiLevelType w:val="hybridMultilevel"/>
    <w:lvl w:ilvl="0">
      <w:lvlJc w:val="left"/>
      <w:lvlText w:val="%1"/>
      <w:numFmt w:val="upperLetter"/>
      <w:start w:val="61"/>
    </w:lvl>
  </w:abstractNum>
  <w:abstractNum w:abstractNumId="1">
    <w:nsid w:val="74B0DC51"/>
    <w:multiLevelType w:val="hybridMultilevel"/>
    <w:lvl w:ilvl="0">
      <w:lvlJc w:val="left"/>
      <w:lvlText w:val="%1)"/>
      <w:numFmt w:val="lowerLetter"/>
      <w:start w:val="1"/>
    </w:lvl>
  </w:abstractNum>
  <w:abstractNum w:abstractNumId="2">
    <w:nsid w:val="19495CFF"/>
    <w:multiLevelType w:val="hybridMultilevel"/>
    <w:lvl w:ilvl="0">
      <w:lvlJc w:val="left"/>
      <w:lvlText w:val="§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2021-06-28T20:16:40Z</dcterms:created>
  <dcterms:modified xsi:type="dcterms:W3CDTF">2021-06-28T20:16:40Z</dcterms:modified>
</cp:coreProperties>
</file>