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6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jc w:val="center"/>
        <w:ind w:right="-6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8" w:lineRule="exact"/>
        <w:rPr>
          <w:sz w:val="24"/>
          <w:szCs w:val="24"/>
          <w:color w:val="auto"/>
        </w:rPr>
      </w:pPr>
    </w:p>
    <w:p>
      <w:pPr>
        <w:ind w:left="3280" w:right="1840" w:hanging="821"/>
        <w:spacing w:after="0" w:line="343" w:lineRule="auto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Av. Firmino Girardello, 85 – Centro Fone (54) 3341-1600 E-mail: </w:t>
      </w:r>
      <w:hyperlink r:id="rId8">
        <w:r>
          <w:rPr>
            <w:rFonts w:ascii="Arial" w:cs="Arial" w:eastAsia="Arial" w:hAnsi="Arial"/>
            <w:sz w:val="20"/>
            <w:szCs w:val="20"/>
            <w:u w:val="single" w:color="auto"/>
            <w:color w:val="0000FF"/>
          </w:rPr>
          <w:t>administracao@pmgv.rs.gov.br-</w:t>
        </w:r>
      </w:hyperlink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-380365</wp:posOffset>
            </wp:positionV>
            <wp:extent cx="782320" cy="10833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left="33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b w:val="1"/>
          <w:bCs w:val="1"/>
          <w:u w:val="single" w:color="auto"/>
          <w:color w:val="auto"/>
        </w:rPr>
        <w:t>LEI Nº 5.835 DE DE 28 DE MAIO DE 2021</w:t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ind w:left="54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Autoriza a doação de imóveis com encargos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5440"/>
        <w:spacing w:after="0"/>
        <w:tabs>
          <w:tab w:leader="none" w:pos="5840" w:val="left"/>
          <w:tab w:leader="none" w:pos="7420" w:val="left"/>
          <w:tab w:leader="none" w:pos="87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à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color w:val="auto"/>
        </w:rPr>
        <w:t>MARMORARIA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color w:val="auto"/>
        </w:rPr>
        <w:t>CHIARELLO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LTDA.,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4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destinado  à  instalação  de  uma  unidade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54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industrial.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jc w:val="both"/>
        <w:ind w:left="900" w:firstLine="236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ELGIDO PASA, Vice-Prefeito em exercício de Getúlio Vargas, Estado do Rio Grande do Sul, faz saber que a Câmara Municipal de Vereadores aprovou e ele sanciona a promulga a seguinte Lei: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both"/>
        <w:ind w:left="900" w:firstLine="2266"/>
        <w:spacing w:after="0" w:line="26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1º Fica o Poder Executivo Municipal autorizado a proceder a doação de imóveis com área total de 1.003,63m² referente ao lote 05, da quadra 03 da matrícula nº 18.504, através de escritura pública, para a empresa MARMORARIA CHIARELLO LTDA., CNPJ nº 25.450.936/0001-45, para fins de ampliação da empresa, mediante as obrigações constantes no art. 3º desta Lei.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both"/>
        <w:ind w:left="900" w:firstLine="2266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2º O imóvel a ser doado possui as seguintes características, localização e confrontação:</w:t>
      </w:r>
    </w:p>
    <w:p>
      <w:pPr>
        <w:spacing w:after="0" w:line="206" w:lineRule="exact"/>
        <w:rPr>
          <w:sz w:val="24"/>
          <w:szCs w:val="24"/>
          <w:color w:val="auto"/>
        </w:rPr>
      </w:pPr>
    </w:p>
    <w:p>
      <w:pPr>
        <w:ind w:left="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>– QUADRA “03” (TRÊS)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both"/>
        <w:ind w:left="900" w:hanging="13"/>
        <w:spacing w:after="0" w:line="27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u w:val="single" w:color="auto"/>
          <w:color w:val="auto"/>
        </w:rPr>
        <w:t>LOTE nº 05 – UM TERRENO URBANO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, </w:t>
      </w:r>
      <w:r>
        <w:rPr>
          <w:rFonts w:ascii="Arial" w:cs="Arial" w:eastAsia="Arial" w:hAnsi="Arial"/>
          <w:sz w:val="20"/>
          <w:szCs w:val="20"/>
          <w:color w:val="auto"/>
        </w:rPr>
        <w:t>de formato trapezoidal, constituído pelo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 lote </w:t>
      </w:r>
      <w:r>
        <w:rPr>
          <w:rFonts w:ascii="Arial" w:cs="Arial" w:eastAsia="Arial" w:hAnsi="Arial"/>
          <w:sz w:val="20"/>
          <w:szCs w:val="20"/>
          <w:color w:val="auto"/>
        </w:rPr>
        <w:t>número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 05 (cinco)</w:t>
      </w:r>
      <w:r>
        <w:rPr>
          <w:rFonts w:ascii="Arial" w:cs="Arial" w:eastAsia="Arial" w:hAnsi="Arial"/>
          <w:sz w:val="20"/>
          <w:szCs w:val="20"/>
          <w:color w:val="auto"/>
        </w:rPr>
        <w:t>, com área superficial de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b w:val="1"/>
          <w:bCs w:val="1"/>
          <w:u w:val="single" w:color="auto"/>
          <w:color w:val="auto"/>
        </w:rPr>
        <w:t>1.003,63 m²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color w:val="auto"/>
        </w:rPr>
        <w:t>(um mil, três metros quadrados e sessenta e três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color w:val="auto"/>
        </w:rPr>
        <w:t xml:space="preserve">decímetros quadrados), situado na 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quadra 03 (três),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do 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“Loteamento Industrial São Cristóvão”</w:t>
      </w:r>
      <w:r>
        <w:rPr>
          <w:rFonts w:ascii="Arial" w:cs="Arial" w:eastAsia="Arial" w:hAnsi="Arial"/>
          <w:sz w:val="20"/>
          <w:szCs w:val="20"/>
          <w:color w:val="auto"/>
        </w:rPr>
        <w:t xml:space="preserve">, localizado no perímetro urbano desta cidade de Getúlio Vargas/RS, quarteirão formado pelas ruas “B”, “G”, uma área verde e uma área de preservação permanente . - Dista 72,97 metros de esquina formada pelas ruas “B” e “G”, e possui as seguintes confrontações e medidas: ao </w:t>
      </w:r>
      <w:r>
        <w:rPr>
          <w:rFonts w:ascii="Arial" w:cs="Arial" w:eastAsia="Arial" w:hAnsi="Arial"/>
          <w:sz w:val="20"/>
          <w:szCs w:val="20"/>
          <w:b w:val="1"/>
          <w:bCs w:val="1"/>
          <w:u w:val="single" w:color="auto"/>
          <w:color w:val="auto"/>
        </w:rPr>
        <w:t>NORTE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pela frente, 20,00 metros, com a rua “B”, ao </w:t>
      </w:r>
      <w:r>
        <w:rPr>
          <w:rFonts w:ascii="Arial" w:cs="Arial" w:eastAsia="Arial" w:hAnsi="Arial"/>
          <w:sz w:val="20"/>
          <w:szCs w:val="20"/>
          <w:b w:val="1"/>
          <w:bCs w:val="1"/>
          <w:u w:val="single" w:color="auto"/>
          <w:color w:val="auto"/>
        </w:rPr>
        <w:t>SUL</w:t>
      </w:r>
      <w:r>
        <w:rPr>
          <w:rFonts w:ascii="Arial" w:cs="Arial" w:eastAsia="Arial" w:hAnsi="Arial"/>
          <w:sz w:val="20"/>
          <w:szCs w:val="20"/>
          <w:color w:val="auto"/>
        </w:rPr>
        <w:t xml:space="preserve">, 20,04 metros, por uma área verde, ao </w:t>
      </w:r>
      <w:r>
        <w:rPr>
          <w:rFonts w:ascii="Arial" w:cs="Arial" w:eastAsia="Arial" w:hAnsi="Arial"/>
          <w:sz w:val="20"/>
          <w:szCs w:val="20"/>
          <w:b w:val="1"/>
          <w:bCs w:val="1"/>
          <w:u w:val="single" w:color="auto"/>
          <w:color w:val="auto"/>
        </w:rPr>
        <w:t>LESTE</w:t>
      </w:r>
      <w:r>
        <w:rPr>
          <w:rFonts w:ascii="Arial" w:cs="Arial" w:eastAsia="Arial" w:hAnsi="Arial"/>
          <w:sz w:val="20"/>
          <w:szCs w:val="20"/>
          <w:color w:val="auto"/>
        </w:rPr>
        <w:t xml:space="preserve">, 50,16 metros, com lote número seis (06); e, ao </w:t>
      </w:r>
      <w:r>
        <w:rPr>
          <w:rFonts w:ascii="Arial" w:cs="Arial" w:eastAsia="Arial" w:hAnsi="Arial"/>
          <w:sz w:val="20"/>
          <w:szCs w:val="20"/>
          <w:b w:val="1"/>
          <w:bCs w:val="1"/>
          <w:u w:val="single" w:color="auto"/>
          <w:color w:val="auto"/>
        </w:rPr>
        <w:t>OESTE</w:t>
      </w:r>
      <w:r>
        <w:rPr>
          <w:rFonts w:ascii="Arial" w:cs="Arial" w:eastAsia="Arial" w:hAnsi="Arial"/>
          <w:sz w:val="20"/>
          <w:szCs w:val="20"/>
          <w:color w:val="auto"/>
        </w:rPr>
        <w:t>, 50,11 metros, com o lote número quatro (04). (Matrícula nº 18.504)</w:t>
      </w:r>
    </w:p>
    <w:p>
      <w:pPr>
        <w:spacing w:after="0" w:line="191" w:lineRule="exact"/>
        <w:rPr>
          <w:sz w:val="24"/>
          <w:szCs w:val="24"/>
          <w:color w:val="auto"/>
        </w:rPr>
      </w:pPr>
    </w:p>
    <w:p>
      <w:pPr>
        <w:jc w:val="both"/>
        <w:ind w:left="900" w:firstLine="226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3º Na outorga das escrituras públicas a que se refere o art. 1º desta Lei, deverá constar obrigatoriamente que o imóvel objeto da transação reverterão ao patrimônio municipal com todas as benfeitorias e sem qualquer indenização, se a empresa beneficiada não cumprir as seguintes obrigações: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both"/>
        <w:ind w:left="900" w:firstLine="226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 - para efetivar-se a doação do imóvel a empresa beneficiada deverá construir em até 02 (dois) anos uma área mínima de 350m² (trezentos e cinquenta metros quadrados) e geração de 05 (cinco) empregos diretos em até 01 (um) ano de funcionamento da empresa.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3340" w:hanging="166"/>
        <w:spacing w:after="0"/>
        <w:tabs>
          <w:tab w:leader="none" w:pos="3340" w:val="left"/>
        </w:tabs>
        <w:numPr>
          <w:ilvl w:val="1"/>
          <w:numId w:val="1"/>
        </w:numPr>
        <w:rPr>
          <w:rFonts w:ascii="Arial" w:cs="Arial" w:eastAsia="Arial" w:hAnsi="Arial"/>
          <w:sz w:val="19"/>
          <w:szCs w:val="19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- manter em funcionamento sua empresa pelo prazo mínimo de dez</w:t>
      </w:r>
    </w:p>
    <w:p>
      <w:pPr>
        <w:spacing w:after="0" w:line="37" w:lineRule="exact"/>
        <w:rPr>
          <w:rFonts w:ascii="Arial" w:cs="Arial" w:eastAsia="Arial" w:hAnsi="Arial"/>
          <w:sz w:val="19"/>
          <w:szCs w:val="19"/>
          <w:color w:val="auto"/>
        </w:rPr>
      </w:pPr>
    </w:p>
    <w:p>
      <w:pPr>
        <w:ind w:left="900" w:firstLine="8"/>
        <w:spacing w:after="0" w:line="279" w:lineRule="auto"/>
        <w:tabs>
          <w:tab w:leader="none" w:pos="1323" w:val="left"/>
        </w:tabs>
        <w:numPr>
          <w:ilvl w:val="0"/>
          <w:numId w:val="2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anos, a contar da completa implantação. geração e manutenção de 05 (cinco) empregos diretos, em até 04 anos.</w:t>
      </w:r>
    </w:p>
    <w:p>
      <w:pPr>
        <w:spacing w:after="0" w:line="207" w:lineRule="exact"/>
        <w:rPr>
          <w:sz w:val="24"/>
          <w:szCs w:val="24"/>
          <w:color w:val="auto"/>
        </w:rPr>
      </w:pPr>
    </w:p>
    <w:p>
      <w:pPr>
        <w:jc w:val="both"/>
        <w:ind w:left="900" w:firstLine="226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4º Ocorrendo a venda da empresa, da área objeto da presente doação e respectiva construção, ou ainda na cessação da atividade antes de esgotado, em qualquer hipótese, o prazo de dez (10) anos, estabelecido no artigo anterior, a empresa beneficiada se obriga a pagar ao Município a importância correspondente ao valor do terreno, considerado à época que o fato ocorrer.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both"/>
        <w:ind w:left="900" w:firstLine="2266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Parágrafo único. Na impossibilidade do pagamento, o imóvel reverterá ao Município sem que assista à mesma direito à indenização das benfeitorias e construções existentes.</w:t>
      </w:r>
    </w:p>
    <w:p>
      <w:pPr>
        <w:spacing w:after="0" w:line="238" w:lineRule="exact"/>
        <w:rPr>
          <w:sz w:val="24"/>
          <w:szCs w:val="24"/>
          <w:color w:val="auto"/>
        </w:rPr>
      </w:pPr>
    </w:p>
    <w:p>
      <w:pPr>
        <w:ind w:left="3180"/>
        <w:spacing w:after="0"/>
        <w:tabs>
          <w:tab w:leader="none" w:pos="3640" w:val="left"/>
          <w:tab w:leader="none" w:pos="4000" w:val="left"/>
          <w:tab w:leader="none" w:pos="4500" w:val="left"/>
          <w:tab w:leader="none" w:pos="5580" w:val="left"/>
          <w:tab w:leader="none" w:pos="5840" w:val="left"/>
          <w:tab w:leader="none" w:pos="6840" w:val="left"/>
          <w:tab w:leader="none" w:pos="7720" w:val="left"/>
          <w:tab w:leader="none" w:pos="8160" w:val="left"/>
          <w:tab w:leader="none" w:pos="90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</w:t>
        <w:tab/>
        <w:t>5º</w:t>
        <w:tab/>
        <w:t>Fica</w:t>
        <w:tab/>
        <w:t>autorizado</w:t>
        <w:tab/>
        <w:t>à</w:t>
        <w:tab/>
        <w:t>donatária</w:t>
        <w:tab/>
        <w:t>oferecer</w:t>
        <w:tab/>
        <w:t>em</w:t>
        <w:tab/>
        <w:t>garantia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auto"/>
        </w:rPr>
        <w:t>de</w:t>
      </w:r>
    </w:p>
    <w:p>
      <w:pPr>
        <w:sectPr>
          <w:pgSz w:w="11900" w:h="16837" w:orient="portrait"/>
          <w:cols w:equalWidth="0" w:num="1">
            <w:col w:w="9260"/>
          </w:cols>
          <w:pgMar w:left="1440" w:top="66" w:right="1206" w:bottom="303" w:gutter="0" w:footer="0" w:header="0"/>
        </w:sectPr>
      </w:pPr>
    </w:p>
    <w:bookmarkStart w:id="1" w:name="page2"/>
    <w:bookmarkEnd w:id="1"/>
    <w:p>
      <w:pPr>
        <w:jc w:val="center"/>
        <w:ind w:right="-6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center"/>
        <w:ind w:right="-6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8" w:lineRule="exact"/>
        <w:rPr>
          <w:sz w:val="20"/>
          <w:szCs w:val="20"/>
          <w:color w:val="auto"/>
        </w:rPr>
      </w:pPr>
    </w:p>
    <w:p>
      <w:pPr>
        <w:ind w:left="3280" w:right="1840" w:hanging="821"/>
        <w:spacing w:after="0" w:line="3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Av. Firmino Girardello, 85 – Centro Fone (54) 3341-1600 E-mail: </w:t>
      </w:r>
      <w:r>
        <w:rPr>
          <w:rFonts w:ascii="Arial" w:cs="Arial" w:eastAsia="Arial" w:hAnsi="Arial"/>
          <w:sz w:val="20"/>
          <w:szCs w:val="20"/>
          <w:u w:val="single" w:color="auto"/>
          <w:color w:val="0000FF"/>
        </w:rPr>
        <w:t>administracao@pmgv.rs.gov.br-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-380365</wp:posOffset>
            </wp:positionV>
            <wp:extent cx="782320" cy="10833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jc w:val="both"/>
        <w:ind w:left="9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financiamentos destinados exclusivamente à construção ou ampliação da empresa, assim como à obtenção de capital de giro para seu funcionamento, junto a estabelecimentos de crédito, o imóvel a que se refere a presente Lei.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900" w:firstLine="2266"/>
        <w:spacing w:after="0" w:line="28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Parágrafo único. Caso a donatária perca o imóvel para instituição financeira, esta deve indenizar aos cofres públicos municipais o valor do imóvel, pelo preço do dia, avaliado por uma comissão de profissionais nomeados pelo Prefeito Municipal.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3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6º Esta lei entrará em vigor na data de sua publicação.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PREFEITURA MUNICIPAL DE GETÚLIO VARGAS, 28 de maio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3" w:lineRule="exact"/>
        <w:rPr>
          <w:sz w:val="20"/>
          <w:szCs w:val="20"/>
          <w:color w:val="auto"/>
        </w:rPr>
      </w:pPr>
    </w:p>
    <w:p>
      <w:pPr>
        <w:ind w:left="3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ELGIDO PASA,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3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Vice-Prefeito em exercício.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9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3" w:lineRule="exact"/>
        <w:rPr>
          <w:sz w:val="20"/>
          <w:szCs w:val="20"/>
          <w:color w:val="auto"/>
        </w:rPr>
      </w:pPr>
    </w:p>
    <w:p>
      <w:pPr>
        <w:ind w:left="3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3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Secretária de Administração.</w:t>
      </w:r>
    </w:p>
    <w:p>
      <w:pPr>
        <w:sectPr>
          <w:pgSz w:w="11900" w:h="16837" w:orient="portrait"/>
          <w:cols w:equalWidth="0" w:num="1">
            <w:col w:w="9260"/>
          </w:cols>
          <w:pgMar w:left="1440" w:top="66" w:right="1206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3" w:lineRule="exact"/>
        <w:rPr>
          <w:sz w:val="20"/>
          <w:szCs w:val="20"/>
          <w:color w:val="auto"/>
        </w:rPr>
      </w:pPr>
    </w:p>
    <w:p>
      <w:pPr>
        <w:ind w:left="5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Esta Lei foi afixada no Mural da Prefeitura,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5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onde são divulgados os atos oficiais, por 15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5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dias a contar de 31/05/2021.</w:t>
      </w:r>
    </w:p>
    <w:p>
      <w:pPr>
        <w:sectPr>
          <w:pgSz w:w="11900" w:h="16837" w:orient="portrait"/>
          <w:cols w:equalWidth="0" w:num="1">
            <w:col w:w="9260"/>
          </w:cols>
          <w:pgMar w:left="1440" w:top="66" w:right="1206" w:bottom="1440" w:gutter="0" w:footer="0" w:header="0"/>
          <w:type w:val="continuous"/>
        </w:sectPr>
      </w:pPr>
    </w:p>
    <w:bookmarkStart w:id="2" w:name="page3"/>
    <w:bookmarkEnd w:id="2"/>
    <w:p>
      <w:pPr>
        <w:jc w:val="center"/>
        <w:ind w:right="-77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center"/>
        <w:ind w:right="-77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8" w:lineRule="exact"/>
        <w:rPr>
          <w:sz w:val="20"/>
          <w:szCs w:val="20"/>
          <w:color w:val="auto"/>
        </w:rPr>
      </w:pPr>
    </w:p>
    <w:p>
      <w:pPr>
        <w:ind w:left="27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Av. Firmino Girardello, 85 – Centro Fone (54) 3341-1600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120650</wp:posOffset>
            </wp:positionH>
            <wp:positionV relativeFrom="paragraph">
              <wp:posOffset>-123825</wp:posOffset>
            </wp:positionV>
            <wp:extent cx="782320" cy="10833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5" w:lineRule="exact"/>
        <w:rPr>
          <w:sz w:val="20"/>
          <w:szCs w:val="20"/>
          <w:color w:val="auto"/>
        </w:rPr>
      </w:pPr>
    </w:p>
    <w:p>
      <w:pPr>
        <w:jc w:val="center"/>
        <w:ind w:right="-9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E-mail: </w:t>
      </w:r>
      <w:r>
        <w:rPr>
          <w:rFonts w:ascii="Arial" w:cs="Arial" w:eastAsia="Arial" w:hAnsi="Arial"/>
          <w:sz w:val="22"/>
          <w:szCs w:val="22"/>
          <w:u w:val="single" w:color="auto"/>
          <w:color w:val="0000FF"/>
        </w:rPr>
        <w:t>administracao@pmgv.rs.gov.br-</w:t>
      </w:r>
    </w:p>
    <w:p>
      <w:pPr>
        <w:spacing w:after="0" w:line="77" w:lineRule="exact"/>
        <w:rPr>
          <w:sz w:val="20"/>
          <w:szCs w:val="20"/>
          <w:color w:val="auto"/>
        </w:rPr>
      </w:pPr>
    </w:p>
    <w:p>
      <w:pPr>
        <w:ind w:left="4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Projeto de Lei nº 077/2021 – Exposição de Motivos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6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Getúlio Vargas, 24 de maio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2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Presidente,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jc w:val="both"/>
        <w:ind w:left="860" w:right="80" w:firstLine="17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Segue Projeto de Lei que autoriza o Município a proceder doação do imóvel com encargos à empresa MARMORARIA CHIARELLO LTDA., CNPJ nº 25.450.936/0001-45, para dar continuidade ao serviço da empresa.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880" w:right="100" w:firstLine="170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 presente pedido de doação de imóvel com encargos foi avaliado pela Câmara Técnica de Investimento do Conselho do Programa de Desenvolvimento de Getúlio Vargas - PRODEGE, cujo parecer foi favorável ao pedido, com as condições estipuladas no presente Projeto de Lei.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880" w:right="20" w:firstLine="170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referida doação tem como objetivo permitir a expansão e o desenvolvimento de atividades voltadas ao ramo de aparelhamento de placas e execução de trabalhos em mármores e granitos, com perspectiva de crescimento, buscando atrair novos clientes, concedendo e gerando empregos diretos e trazendo novos benefícios à nossa comunidade, suprindo as demandas necessárias junto às atividade voltadas ao interesse econômico de nosso Município.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900" w:right="20" w:firstLine="1636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Contando com a aprovação dos Nobres Vereadores, desde já manifestamos nosso apreço e consideração.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left="2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ind w:left="39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3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</w:t>
      </w:r>
    </w:p>
    <w:p>
      <w:pPr>
        <w:sectPr>
          <w:pgSz w:w="11900" w:h="16837" w:orient="portrait"/>
          <w:cols w:equalWidth="0" w:num="1">
            <w:col w:w="9580"/>
          </w:cols>
          <w:pgMar w:left="1200" w:top="66" w:right="1126" w:bottom="68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JEFERSON WILIAN KARPINSKI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Câmara de Vereadores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Nesta</w:t>
      </w:r>
    </w:p>
    <w:sectPr>
      <w:pgSz w:w="11900" w:h="16837" w:orient="portrait"/>
      <w:cols w:equalWidth="0" w:num="1">
        <w:col w:w="9580"/>
      </w:cols>
      <w:pgMar w:left="1200" w:top="66" w:right="1126" w:bottom="68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"/>
      <w:numFmt w:val="upperLetter"/>
      <w:start w:val="35"/>
    </w:lvl>
  </w:abstractNum>
  <w:abstractNum w:abstractNumId="1">
    <w:nsid w:val="66334873"/>
    <w:multiLevelType w:val="hybridMultilevel"/>
    <w:lvl w:ilvl="0">
      <w:lvlJc w:val="left"/>
      <w:lvlText w:val="(%1)"/>
      <w:numFmt w:val="decimal"/>
      <w:start w:val="10"/>
    </w:lvl>
    <w:lvl w:ilvl="1">
      <w:lvlJc w:val="left"/>
      <w:lvlText w:val="%2"/>
      <w:numFmt w:val="upperLetter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8" Type="http://schemas.openxmlformats.org/officeDocument/2006/relationships/hyperlink" Target="mailto:administracao@pmgv.rs.gov.br-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2021-06-28T20:53:35Z</dcterms:created>
  <dcterms:modified xsi:type="dcterms:W3CDTF">2021-06-28T20:53:35Z</dcterms:modified>
</cp:coreProperties>
</file>