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0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10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05/2020, DE 09 DE MARÇO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6" w:lineRule="exact"/>
        <w:rPr>
          <w:sz w:val="24"/>
          <w:szCs w:val="24"/>
          <w:color w:val="auto"/>
        </w:rPr>
      </w:pPr>
    </w:p>
    <w:p>
      <w:pPr>
        <w:ind w:left="5260"/>
        <w:spacing w:after="0"/>
        <w:tabs>
          <w:tab w:leader="none" w:pos="6320" w:val="left"/>
          <w:tab w:leader="none" w:pos="7120" w:val="left"/>
          <w:tab w:leader="none" w:pos="7380" w:val="left"/>
          <w:tab w:leader="none" w:pos="846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férias</w:t>
        <w:tab/>
        <w:t>à</w:t>
        <w:tab/>
        <w:t>servidora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Bruna</w:t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Salvador.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6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87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quinze (15) dias de férias regulamentares, a partir de 30 de março de 2020, à servidora BRUNA SA LVADOR, Assessora de Comunicação Social do Poder Legislativo, correspond ente ao período aquisitivo de 01/02/2019 a 31/01/2020.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2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09 de ma rço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9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060"/>
      </w:cols>
      <w:pgMar w:left="1440" w:top="717" w:right="140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2020-04-16T14:15:57Z</dcterms:created>
  <dcterms:modified xsi:type="dcterms:W3CDTF">2020-04-16T14:15:57Z</dcterms:modified>
</cp:coreProperties>
</file>