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74"/>
      </w:pPr>
      <w:r>
        <w:rPr/>
        <w:t>PREFEITURA MUNICIPAL DE GETÚLIO VARGAS</w:t>
      </w:r>
    </w:p>
    <w:p>
      <w:pPr>
        <w:spacing w:line="322" w:lineRule="exact" w:before="0"/>
        <w:ind w:left="2437" w:right="7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7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220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5.124 DE 26  DE  FEVEREIRO  DE 2016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before="72"/>
        <w:ind w:left="5134" w:right="151"/>
        <w:jc w:val="both"/>
      </w:pPr>
      <w:r>
        <w:rPr/>
        <w:t>Autoriza o Poder Executivo Municipal a receber o valor de até R$ 17.750,00, relativos à Inscrição em Cursos Profissionalizantes ministrados pelo SENAC  e dá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left="608" w:right="154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08" w:right="154" w:firstLine="2266"/>
        <w:jc w:val="both"/>
      </w:pPr>
      <w:r>
        <w:rPr/>
        <w:t>Art. 1º Fica o Poder Executivo Municipal autorizado a receber no Orçamento Programa das Receitas de 2016, o valor de até R$ 17.750,00 (dezessete mil, setecentos e cinqüenta reais), referentes ao valor da Inscrição nos Cursos ministrados pelo SENAC - Sistema Nacional de Aprendizagem Comercial, de acordo com o Contrato firmado com o Município de Getúlio Vargas, na seguinte classificação orçamentária da receita: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7"/>
        <w:gridCol w:w="3237"/>
        <w:gridCol w:w="662"/>
        <w:gridCol w:w="2013"/>
      </w:tblGrid>
      <w:tr>
        <w:trPr>
          <w:trHeight w:val="336" w:hRule="exact"/>
        </w:trPr>
        <w:tc>
          <w:tcPr>
            <w:tcW w:w="2577" w:type="dxa"/>
          </w:tcPr>
          <w:p>
            <w:pPr>
              <w:pStyle w:val="TableParagraph"/>
              <w:spacing w:before="72"/>
              <w:ind w:left="35"/>
              <w:rPr>
                <w:sz w:val="22"/>
              </w:rPr>
            </w:pPr>
            <w:r>
              <w:rPr>
                <w:sz w:val="22"/>
              </w:rPr>
              <w:t>1.9.2.0.00.00.00.00.00</w:t>
            </w:r>
          </w:p>
        </w:tc>
        <w:tc>
          <w:tcPr>
            <w:tcW w:w="3237" w:type="dxa"/>
          </w:tcPr>
          <w:p>
            <w:pPr>
              <w:pStyle w:val="TableParagraph"/>
              <w:tabs>
                <w:tab w:pos="1093" w:val="left" w:leader="none"/>
              </w:tabs>
              <w:spacing w:before="72"/>
              <w:ind w:left="339"/>
              <w:rPr>
                <w:sz w:val="22"/>
              </w:rPr>
            </w:pPr>
            <w:r>
              <w:rPr>
                <w:sz w:val="22"/>
              </w:rPr>
              <w:t>-</w:t>
              <w:tab/>
              <w:t>INDENIZACOES</w:t>
            </w:r>
          </w:p>
        </w:tc>
        <w:tc>
          <w:tcPr>
            <w:tcW w:w="662" w:type="dxa"/>
          </w:tcPr>
          <w:p>
            <w:pPr>
              <w:pStyle w:val="TableParagraph"/>
              <w:spacing w:before="72"/>
              <w:ind w:left="185"/>
              <w:rPr>
                <w:sz w:val="22"/>
              </w:rPr>
            </w:pPr>
            <w:r>
              <w:rPr>
                <w:sz w:val="22"/>
              </w:rPr>
              <w:t>E</w:t>
            </w:r>
          </w:p>
        </w:tc>
        <w:tc>
          <w:tcPr>
            <w:tcW w:w="2013" w:type="dxa"/>
          </w:tcPr>
          <w:p>
            <w:pPr>
              <w:pStyle w:val="TableParagraph"/>
              <w:spacing w:before="72"/>
              <w:ind w:right="35"/>
              <w:jc w:val="right"/>
              <w:rPr>
                <w:sz w:val="22"/>
              </w:rPr>
            </w:pPr>
            <w:r>
              <w:rPr>
                <w:sz w:val="22"/>
              </w:rPr>
              <w:t>RESTITUICOES</w:t>
            </w:r>
          </w:p>
        </w:tc>
      </w:tr>
      <w:tr>
        <w:trPr>
          <w:trHeight w:val="253" w:hRule="exact"/>
        </w:trPr>
        <w:tc>
          <w:tcPr>
            <w:tcW w:w="2577" w:type="dxa"/>
          </w:tcPr>
          <w:p>
            <w:pPr>
              <w:pStyle w:val="TableParagraph"/>
              <w:spacing w:line="241" w:lineRule="exact"/>
              <w:ind w:left="35"/>
              <w:rPr>
                <w:sz w:val="22"/>
              </w:rPr>
            </w:pPr>
            <w:r>
              <w:rPr>
                <w:sz w:val="22"/>
              </w:rPr>
              <w:t>1.9.2.1.99.00.00.00.00</w:t>
            </w:r>
          </w:p>
        </w:tc>
        <w:tc>
          <w:tcPr>
            <w:tcW w:w="3237" w:type="dxa"/>
          </w:tcPr>
          <w:p>
            <w:pPr>
              <w:pStyle w:val="TableParagraph"/>
              <w:tabs>
                <w:tab w:pos="1265" w:val="left" w:leader="none"/>
              </w:tabs>
              <w:spacing w:line="241" w:lineRule="exact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-</w:t>
              <w:tab/>
            </w:r>
            <w:r>
              <w:rPr>
                <w:spacing w:val="-1"/>
                <w:sz w:val="22"/>
              </w:rPr>
              <w:t>OUTRAS</w:t>
            </w:r>
          </w:p>
        </w:tc>
        <w:tc>
          <w:tcPr>
            <w:tcW w:w="662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line="241" w:lineRule="exact"/>
              <w:ind w:right="33"/>
              <w:jc w:val="right"/>
              <w:rPr>
                <w:sz w:val="22"/>
              </w:rPr>
            </w:pPr>
            <w:r>
              <w:rPr>
                <w:sz w:val="22"/>
              </w:rPr>
              <w:t>INDENIZAÇÕES</w:t>
            </w:r>
          </w:p>
        </w:tc>
      </w:tr>
      <w:tr>
        <w:trPr>
          <w:trHeight w:val="253" w:hRule="exact"/>
        </w:trPr>
        <w:tc>
          <w:tcPr>
            <w:tcW w:w="2577" w:type="dxa"/>
          </w:tcPr>
          <w:p>
            <w:pPr>
              <w:pStyle w:val="TableParagraph"/>
              <w:spacing w:line="242" w:lineRule="exact"/>
              <w:ind w:left="35"/>
              <w:rPr>
                <w:sz w:val="22"/>
              </w:rPr>
            </w:pPr>
            <w:r>
              <w:rPr>
                <w:sz w:val="22"/>
              </w:rPr>
              <w:t>1.9.2.2.99.00.00.00.00</w:t>
            </w:r>
          </w:p>
        </w:tc>
        <w:tc>
          <w:tcPr>
            <w:tcW w:w="3237" w:type="dxa"/>
          </w:tcPr>
          <w:p>
            <w:pPr>
              <w:pStyle w:val="TableParagraph"/>
              <w:tabs>
                <w:tab w:pos="1273" w:val="left" w:leader="none"/>
              </w:tabs>
              <w:spacing w:line="242" w:lineRule="exact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-</w:t>
              <w:tab/>
            </w:r>
            <w:r>
              <w:rPr>
                <w:spacing w:val="-1"/>
                <w:sz w:val="22"/>
              </w:rPr>
              <w:t>OUTRAS</w:t>
            </w:r>
          </w:p>
        </w:tc>
        <w:tc>
          <w:tcPr>
            <w:tcW w:w="662" w:type="dxa"/>
          </w:tcPr>
          <w:p>
            <w:pPr/>
          </w:p>
        </w:tc>
        <w:tc>
          <w:tcPr>
            <w:tcW w:w="2013" w:type="dxa"/>
          </w:tcPr>
          <w:p>
            <w:pPr>
              <w:pStyle w:val="TableParagraph"/>
              <w:spacing w:line="242" w:lineRule="exact"/>
              <w:ind w:right="33"/>
              <w:jc w:val="right"/>
              <w:rPr>
                <w:sz w:val="22"/>
              </w:rPr>
            </w:pPr>
            <w:r>
              <w:rPr>
                <w:sz w:val="22"/>
              </w:rPr>
              <w:t>RESTITUICOES</w:t>
            </w:r>
          </w:p>
        </w:tc>
      </w:tr>
      <w:tr>
        <w:trPr>
          <w:trHeight w:val="336" w:hRule="exact"/>
        </w:trPr>
        <w:tc>
          <w:tcPr>
            <w:tcW w:w="2577" w:type="dxa"/>
          </w:tcPr>
          <w:p>
            <w:pPr>
              <w:pStyle w:val="TableParagraph"/>
              <w:spacing w:line="241" w:lineRule="exact"/>
              <w:ind w:left="35"/>
              <w:rPr>
                <w:sz w:val="22"/>
              </w:rPr>
            </w:pPr>
            <w:r>
              <w:rPr>
                <w:sz w:val="22"/>
              </w:rPr>
              <w:t>(Recurso: Livre 1)</w:t>
            </w:r>
          </w:p>
        </w:tc>
        <w:tc>
          <w:tcPr>
            <w:tcW w:w="3237" w:type="dxa"/>
          </w:tcPr>
          <w:p>
            <w:pPr/>
          </w:p>
        </w:tc>
        <w:tc>
          <w:tcPr>
            <w:tcW w:w="662" w:type="dxa"/>
          </w:tcPr>
          <w:p>
            <w:pPr/>
          </w:p>
        </w:tc>
        <w:tc>
          <w:tcPr>
            <w:tcW w:w="2013" w:type="dxa"/>
          </w:tcPr>
          <w:p>
            <w:pPr/>
          </w:p>
        </w:tc>
      </w:tr>
    </w:tbl>
    <w:p>
      <w:pPr>
        <w:pStyle w:val="BodyText"/>
        <w:spacing w:before="5"/>
        <w:rPr>
          <w:sz w:val="7"/>
        </w:rPr>
      </w:pPr>
    </w:p>
    <w:p>
      <w:pPr>
        <w:pStyle w:val="BodyText"/>
        <w:tabs>
          <w:tab w:pos="2185" w:val="left" w:leader="none"/>
          <w:tab w:pos="2267" w:val="left" w:leader="none"/>
          <w:tab w:pos="2349" w:val="left" w:leader="none"/>
          <w:tab w:pos="2445" w:val="left" w:leader="none"/>
          <w:tab w:pos="3188" w:val="left" w:leader="none"/>
          <w:tab w:pos="3718" w:val="left" w:leader="none"/>
          <w:tab w:pos="3982" w:val="left" w:leader="none"/>
          <w:tab w:pos="4172" w:val="left" w:leader="none"/>
          <w:tab w:pos="4585" w:val="left" w:leader="none"/>
          <w:tab w:pos="4730" w:val="left" w:leader="none"/>
          <w:tab w:pos="4874" w:val="left" w:leader="none"/>
          <w:tab w:pos="5076" w:val="left" w:leader="none"/>
          <w:tab w:pos="5374" w:val="left" w:leader="none"/>
          <w:tab w:pos="5673" w:val="left" w:leader="none"/>
          <w:tab w:pos="6886" w:val="left" w:leader="none"/>
          <w:tab w:pos="6942" w:val="left" w:leader="none"/>
          <w:tab w:pos="7222" w:val="left" w:leader="none"/>
          <w:tab w:pos="7274" w:val="left" w:leader="none"/>
          <w:tab w:pos="7732" w:val="left" w:leader="none"/>
          <w:tab w:pos="7860" w:val="left" w:leader="none"/>
          <w:tab w:pos="8048" w:val="left" w:leader="none"/>
          <w:tab w:pos="8094" w:val="left" w:leader="none"/>
          <w:tab w:pos="8423" w:val="left" w:leader="none"/>
        </w:tabs>
        <w:spacing w:before="72"/>
        <w:ind w:left="608" w:right="150" w:firstLine="2266"/>
        <w:jc w:val="both"/>
      </w:pPr>
      <w:r>
        <w:rPr/>
        <w:t>Art. 2º Os cursos disponibilizados pelo SENAC e a PREFEITURA      </w:t>
      </w:r>
      <w:r>
        <w:rPr>
          <w:spacing w:val="-3"/>
        </w:rPr>
        <w:t>MUNICIPAL,     </w:t>
      </w:r>
      <w:r>
        <w:rPr>
          <w:spacing w:val="55"/>
        </w:rPr>
        <w:t> </w:t>
      </w:r>
      <w:r>
        <w:rPr/>
        <w:t>são       os       que       seguem       abaixo: Técnicas</w:t>
        <w:tab/>
        <w:tab/>
        <w:tab/>
        <w:tab/>
        <w:t>Básicas</w:t>
        <w:tab/>
        <w:tab/>
        <w:tab/>
        <w:t>do</w:t>
        <w:tab/>
        <w:tab/>
        <w:tab/>
        <w:tab/>
        <w:tab/>
        <w:t>Cuidador</w:t>
        <w:tab/>
        <w:tab/>
        <w:tab/>
        <w:t>de</w:t>
        <w:tab/>
        <w:tab/>
        <w:tab/>
        <w:tab/>
        <w:tab/>
        <w:t>Idoso; Etiqueta</w:t>
        <w:tab/>
        <w:tab/>
        <w:t>Social</w:t>
        <w:tab/>
        <w:tab/>
        <w:t>em</w:t>
        <w:tab/>
        <w:tab/>
        <w:tab/>
        <w:tab/>
        <w:t>Cerimoniais</w:t>
        <w:tab/>
        <w:t>e</w:t>
        <w:tab/>
        <w:tab/>
        <w:tab/>
        <w:tab/>
        <w:t>Recepções; Técnicas</w:t>
        <w:tab/>
        <w:t>em</w:t>
        <w:tab/>
        <w:t>Serviços</w:t>
        <w:tab/>
        <w:tab/>
        <w:tab/>
        <w:t>de</w:t>
        <w:tab/>
        <w:tab/>
        <w:tab/>
        <w:t>Manicure</w:t>
        <w:tab/>
        <w:tab/>
        <w:tab/>
        <w:tab/>
        <w:t>e</w:t>
        <w:tab/>
        <w:tab/>
        <w:tab/>
        <w:tab/>
        <w:t>Pedicure; Técnicas</w:t>
        <w:tab/>
        <w:tab/>
        <w:tab/>
        <w:t>Básicas</w:t>
        <w:tab/>
        <w:tab/>
        <w:tab/>
        <w:t>de</w:t>
        <w:tab/>
        <w:tab/>
        <w:tab/>
        <w:tab/>
        <w:t>Atendente</w:t>
        <w:tab/>
        <w:tab/>
        <w:t>de</w:t>
        <w:tab/>
        <w:tab/>
        <w:tab/>
        <w:tab/>
        <w:tab/>
        <w:t>Farmácia; Excelência</w:t>
        <w:tab/>
        <w:tab/>
        <w:tab/>
        <w:tab/>
        <w:tab/>
        <w:tab/>
        <w:tab/>
        <w:tab/>
        <w:tab/>
        <w:t>no</w:t>
        <w:tab/>
        <w:tab/>
        <w:tab/>
        <w:tab/>
        <w:tab/>
        <w:tab/>
        <w:tab/>
        <w:tab/>
        <w:tab/>
      </w:r>
      <w:r>
        <w:rPr>
          <w:spacing w:val="-1"/>
        </w:rPr>
        <w:t>Atendimento; </w:t>
      </w:r>
      <w:r>
        <w:rPr/>
        <w:t>Venda-se.</w:t>
      </w:r>
    </w:p>
    <w:p>
      <w:pPr>
        <w:pStyle w:val="BodyText"/>
        <w:spacing w:line="252" w:lineRule="exact"/>
        <w:ind w:left="2874"/>
      </w:pPr>
      <w:r>
        <w:rPr/>
        <w:t>Art. 3º Esta Lei entrara em vigor na data de sua publicação.</w:t>
      </w:r>
    </w:p>
    <w:p>
      <w:pPr>
        <w:pStyle w:val="BodyText"/>
      </w:pPr>
    </w:p>
    <w:p>
      <w:pPr>
        <w:pStyle w:val="BodyText"/>
        <w:ind w:left="608"/>
      </w:pPr>
      <w:r>
        <w:rPr/>
        <w:t>PREFEITURA MUNICIPAL DE GETÚLIO VARGAS, 26 de fevereiro de 2016.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52" w:lineRule="exact"/>
        <w:ind w:left="2824"/>
      </w:pPr>
      <w:r>
        <w:rPr/>
        <w:t>Bel. PEDRO PAULO PREZZOTTO,</w:t>
      </w:r>
    </w:p>
    <w:p>
      <w:pPr>
        <w:pStyle w:val="BodyText"/>
        <w:spacing w:line="252" w:lineRule="exact"/>
        <w:ind w:left="2824"/>
      </w:pPr>
      <w:r>
        <w:rPr/>
        <w:t>Prefeito Municipal.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4718" w:val="left" w:leader="none"/>
          <w:tab w:pos="7828" w:val="left" w:leader="none"/>
        </w:tabs>
        <w:ind w:left="608"/>
      </w:pPr>
      <w:r>
        <w:rPr/>
        <w:t>Registre-se</w:t>
        <w:tab/>
        <w:t>e</w:t>
        <w:tab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24"/>
      </w:pPr>
      <w:r>
        <w:rPr/>
        <w:t>JULIANO NARDI,</w:t>
      </w:r>
    </w:p>
    <w:p>
      <w:pPr>
        <w:pStyle w:val="BodyText"/>
        <w:spacing w:before="1"/>
        <w:ind w:left="2824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7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2016-04-01T13:29:22Z</dcterms:created>
  <dcterms:modified xsi:type="dcterms:W3CDTF">2016-04-01T13:29:22Z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