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D7A" w:rsidRPr="00844D7A" w:rsidRDefault="00844D7A" w:rsidP="00844D7A">
      <w:pPr>
        <w:spacing w:after="120"/>
        <w:ind w:firstLine="0"/>
        <w:jc w:val="center"/>
        <w:rPr>
          <w:rFonts w:eastAsia="Times New Roman" w:cs="Arial"/>
          <w:b/>
          <w:sz w:val="21"/>
          <w:szCs w:val="21"/>
          <w:lang w:eastAsia="pt-BR"/>
        </w:rPr>
      </w:pPr>
      <w:r w:rsidRPr="00844D7A">
        <w:rPr>
          <w:rFonts w:eastAsia="Times New Roman" w:cs="Arial"/>
          <w:b/>
          <w:sz w:val="21"/>
          <w:szCs w:val="21"/>
          <w:lang w:eastAsia="pt-BR"/>
        </w:rPr>
        <w:t xml:space="preserve">Município de </w:t>
      </w:r>
      <w:r w:rsidR="00784329">
        <w:rPr>
          <w:rFonts w:eastAsia="Times New Roman" w:cs="Arial"/>
          <w:b/>
          <w:sz w:val="21"/>
          <w:szCs w:val="21"/>
          <w:lang w:eastAsia="pt-BR"/>
        </w:rPr>
        <w:t xml:space="preserve"> </w:t>
      </w:r>
      <w:proofErr w:type="spellStart"/>
      <w:r w:rsidR="00784329">
        <w:rPr>
          <w:rFonts w:eastAsia="Times New Roman" w:cs="Arial"/>
          <w:b/>
          <w:sz w:val="21"/>
          <w:szCs w:val="21"/>
          <w:lang w:eastAsia="pt-BR"/>
        </w:rPr>
        <w:t>Caibaté</w:t>
      </w:r>
      <w:proofErr w:type="spellEnd"/>
      <w:r w:rsidR="00784329">
        <w:rPr>
          <w:rFonts w:eastAsia="Times New Roman" w:cs="Arial"/>
          <w:b/>
          <w:sz w:val="21"/>
          <w:szCs w:val="21"/>
          <w:lang w:eastAsia="pt-BR"/>
        </w:rPr>
        <w:t xml:space="preserve"> -RS</w:t>
      </w:r>
    </w:p>
    <w:p w:rsidR="00844D7A" w:rsidRPr="00844D7A" w:rsidRDefault="00844D7A" w:rsidP="00844D7A">
      <w:pPr>
        <w:spacing w:after="120"/>
        <w:ind w:firstLine="0"/>
        <w:jc w:val="center"/>
        <w:rPr>
          <w:rFonts w:eastAsia="Times New Roman" w:cs="Arial"/>
          <w:b/>
          <w:sz w:val="21"/>
          <w:szCs w:val="21"/>
          <w:lang w:eastAsia="pt-BR"/>
        </w:rPr>
      </w:pPr>
      <w:r w:rsidRPr="00844D7A">
        <w:rPr>
          <w:rFonts w:eastAsia="Times New Roman" w:cs="Arial"/>
          <w:b/>
          <w:sz w:val="21"/>
          <w:szCs w:val="21"/>
          <w:lang w:eastAsia="pt-BR"/>
        </w:rPr>
        <w:t xml:space="preserve">Balanço Financeiro </w:t>
      </w:r>
    </w:p>
    <w:p w:rsidR="00844D7A" w:rsidRPr="00844D7A" w:rsidRDefault="00844D7A" w:rsidP="00844D7A">
      <w:pPr>
        <w:spacing w:after="120"/>
        <w:ind w:firstLine="0"/>
        <w:jc w:val="right"/>
        <w:rPr>
          <w:rFonts w:eastAsia="Times New Roman" w:cs="Arial"/>
          <w:b/>
          <w:sz w:val="21"/>
          <w:szCs w:val="21"/>
          <w:lang w:eastAsia="pt-BR"/>
        </w:rPr>
      </w:pPr>
      <w:r w:rsidRPr="00844D7A">
        <w:rPr>
          <w:rFonts w:eastAsia="Times New Roman" w:cs="Arial"/>
          <w:b/>
          <w:sz w:val="21"/>
          <w:szCs w:val="21"/>
          <w:lang w:eastAsia="pt-BR"/>
        </w:rPr>
        <w:t>Exercício de:</w:t>
      </w:r>
      <w:r w:rsidR="00784329">
        <w:rPr>
          <w:rFonts w:eastAsia="Times New Roman" w:cs="Arial"/>
          <w:b/>
          <w:sz w:val="21"/>
          <w:szCs w:val="21"/>
          <w:lang w:eastAsia="pt-BR"/>
        </w:rPr>
        <w:t>201</w:t>
      </w:r>
      <w:r w:rsidR="007E0516">
        <w:rPr>
          <w:rFonts w:eastAsia="Times New Roman" w:cs="Arial"/>
          <w:b/>
          <w:sz w:val="21"/>
          <w:szCs w:val="21"/>
          <w:lang w:eastAsia="pt-BR"/>
        </w:rPr>
        <w:t>7</w:t>
      </w:r>
      <w:bookmarkStart w:id="0" w:name="_GoBack"/>
      <w:bookmarkEnd w:id="0"/>
    </w:p>
    <w:tbl>
      <w:tblPr>
        <w:tblW w:w="9121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4"/>
        <w:gridCol w:w="709"/>
        <w:gridCol w:w="1417"/>
        <w:gridCol w:w="1561"/>
      </w:tblGrid>
      <w:tr w:rsidR="00844D7A" w:rsidRPr="00844D7A">
        <w:trPr>
          <w:trHeight w:val="297"/>
        </w:trPr>
        <w:tc>
          <w:tcPr>
            <w:tcW w:w="9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INGRESSOS</w:t>
            </w:r>
          </w:p>
        </w:tc>
      </w:tr>
      <w:tr w:rsidR="00844D7A" w:rsidRPr="00844D7A" w:rsidTr="00DE5BB0">
        <w:trPr>
          <w:trHeight w:val="410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bottom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Nota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bottom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Exercício</w:t>
            </w:r>
          </w:p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Atual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bottom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Exercício Anterior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Receita Orçamentária (I)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45612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20.535.355,47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45612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19.607</w:t>
            </w:r>
            <w:r w:rsidR="00DE5BB0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.941,93</w:t>
            </w:r>
            <w:r w:rsidR="00844D7A"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 xml:space="preserve">   Ordinária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11.879.798,94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11.433.142,49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 xml:space="preserve">   Vinculada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8.655.556,53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8.174.799,44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Recursos Vinculados à Educação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2.660.837,00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2.524.342,72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Recursos Vinculados à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1.986.609,77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1.943.266,61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Recursos Vinculados à Previdência Social – RPPS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4.008.109,76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3.707.190,11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Recursos Vinculados à Previdência Social – RGPS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594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Recursos Vinculados à </w:t>
            </w: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Assistência Social</w:t>
            </w:r>
          </w:p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(…)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Outras Destinações de Recursos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Transferências Financeiras Recebidas (II)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841.896,04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778.743,01</w:t>
            </w:r>
            <w:r w:rsidR="00844D7A"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Recebidas para a Execução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841.896,04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778.743,01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309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Recebidas Independentes de Execução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309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Recebidas para Aportes de recursos para o RPPS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309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Recebidas para Aportes de recursos para o RGPS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 xml:space="preserve">Recebimentos </w:t>
            </w:r>
            <w:proofErr w:type="spellStart"/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Extraorçamentários</w:t>
            </w:r>
            <w:proofErr w:type="spellEnd"/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 xml:space="preserve"> (III)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3.386.498,11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2.973.261,17</w:t>
            </w:r>
            <w:r w:rsidR="00844D7A"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Inscrição de Restos a Pagar Não Processados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47.928,85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359.340,47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Inscrição de Restos a Pagar Processados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609.601,62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302.486,52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Depósitos Restituíveis e Valores Vinculados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2.728.967,64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2.311.434,18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Outros Recebimentos </w:t>
            </w:r>
            <w:proofErr w:type="spellStart"/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Extraorçamentários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Saldo do Exercício Anterior (IV)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10.178.406,48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8.320.247,75</w:t>
            </w:r>
            <w:r w:rsidR="00844D7A"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Caixa e Equivalentes de Caixa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10.178.406,48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8.320.247,75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Depósitos Restituíveis e Valores Vinculados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DE5BB0">
        <w:trPr>
          <w:trHeight w:val="297"/>
        </w:trPr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val="en-US"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val="en-US" w:eastAsia="pt-BR"/>
              </w:rPr>
              <w:t>TOTAL (V) = (I + II + III + IV)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val="en-US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val="en-US"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val="en-US" w:eastAsia="pt-BR"/>
              </w:rPr>
              <w:t> </w:t>
            </w:r>
            <w:r w:rsidR="00DE5BB0">
              <w:rPr>
                <w:rFonts w:eastAsia="Times New Roman" w:cs="Arial"/>
                <w:b/>
                <w:bCs/>
                <w:sz w:val="21"/>
                <w:szCs w:val="21"/>
                <w:lang w:val="en-US" w:eastAsia="pt-BR"/>
              </w:rPr>
              <w:t>34.942.156,10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DE5BB0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val="en-US" w:eastAsia="pt-BR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en-US" w:eastAsia="pt-BR"/>
              </w:rPr>
              <w:t>31.680.193,86</w:t>
            </w:r>
            <w:r w:rsidR="00844D7A" w:rsidRPr="00844D7A">
              <w:rPr>
                <w:rFonts w:eastAsia="Times New Roman" w:cs="Arial"/>
                <w:b/>
                <w:bCs/>
                <w:sz w:val="21"/>
                <w:szCs w:val="21"/>
                <w:lang w:val="en-US" w:eastAsia="pt-BR"/>
              </w:rPr>
              <w:t> </w:t>
            </w:r>
          </w:p>
        </w:tc>
      </w:tr>
    </w:tbl>
    <w:p w:rsidR="00844D7A" w:rsidRDefault="00844D7A" w:rsidP="00844D7A">
      <w:pPr>
        <w:spacing w:after="120"/>
        <w:ind w:firstLine="0"/>
        <w:jc w:val="left"/>
        <w:rPr>
          <w:rFonts w:eastAsia="Times New Roman" w:cs="Arial"/>
          <w:sz w:val="21"/>
          <w:szCs w:val="21"/>
          <w:lang w:val="en-US" w:eastAsia="pt-BR"/>
        </w:rPr>
      </w:pPr>
    </w:p>
    <w:p w:rsidR="00844D7A" w:rsidRDefault="00844D7A" w:rsidP="00844D7A">
      <w:pPr>
        <w:spacing w:after="120"/>
        <w:ind w:firstLine="0"/>
        <w:jc w:val="left"/>
        <w:rPr>
          <w:rFonts w:eastAsia="Times New Roman" w:cs="Arial"/>
          <w:sz w:val="21"/>
          <w:szCs w:val="21"/>
          <w:lang w:val="en-US" w:eastAsia="pt-BR"/>
        </w:rPr>
      </w:pPr>
    </w:p>
    <w:p w:rsidR="00844D7A" w:rsidRPr="00844D7A" w:rsidRDefault="00844D7A" w:rsidP="00844D7A">
      <w:pPr>
        <w:spacing w:after="120"/>
        <w:ind w:firstLine="0"/>
        <w:jc w:val="left"/>
        <w:rPr>
          <w:rFonts w:eastAsia="Times New Roman" w:cs="Arial"/>
          <w:sz w:val="21"/>
          <w:szCs w:val="21"/>
          <w:lang w:val="en-US" w:eastAsia="pt-BR"/>
        </w:rPr>
      </w:pPr>
    </w:p>
    <w:p w:rsidR="00844D7A" w:rsidRPr="00844D7A" w:rsidRDefault="00844D7A" w:rsidP="00844D7A">
      <w:pPr>
        <w:tabs>
          <w:tab w:val="left" w:pos="945"/>
        </w:tabs>
        <w:spacing w:after="120"/>
        <w:ind w:firstLine="0"/>
        <w:jc w:val="center"/>
        <w:rPr>
          <w:rFonts w:eastAsia="Times New Roman" w:cs="Arial"/>
          <w:b/>
          <w:sz w:val="21"/>
          <w:szCs w:val="21"/>
          <w:lang w:eastAsia="pt-BR"/>
        </w:rPr>
      </w:pPr>
      <w:r w:rsidRPr="00844D7A">
        <w:rPr>
          <w:rFonts w:eastAsia="Times New Roman" w:cs="Arial"/>
          <w:b/>
          <w:sz w:val="21"/>
          <w:szCs w:val="21"/>
          <w:lang w:eastAsia="pt-BR"/>
        </w:rPr>
        <w:t>Município de</w:t>
      </w:r>
      <w:r w:rsidR="004F74E1">
        <w:rPr>
          <w:rFonts w:eastAsia="Times New Roman" w:cs="Arial"/>
          <w:b/>
          <w:sz w:val="21"/>
          <w:szCs w:val="21"/>
          <w:lang w:eastAsia="pt-BR"/>
        </w:rPr>
        <w:t xml:space="preserve"> </w:t>
      </w:r>
      <w:proofErr w:type="spellStart"/>
      <w:r w:rsidR="004F74E1">
        <w:rPr>
          <w:rFonts w:eastAsia="Times New Roman" w:cs="Arial"/>
          <w:b/>
          <w:sz w:val="21"/>
          <w:szCs w:val="21"/>
          <w:lang w:eastAsia="pt-BR"/>
        </w:rPr>
        <w:t>Caibaté</w:t>
      </w:r>
      <w:proofErr w:type="spellEnd"/>
      <w:r w:rsidR="004F74E1">
        <w:rPr>
          <w:rFonts w:eastAsia="Times New Roman" w:cs="Arial"/>
          <w:b/>
          <w:sz w:val="21"/>
          <w:szCs w:val="21"/>
          <w:lang w:eastAsia="pt-BR"/>
        </w:rPr>
        <w:t xml:space="preserve"> - </w:t>
      </w:r>
      <w:proofErr w:type="spellStart"/>
      <w:r w:rsidR="004F74E1">
        <w:rPr>
          <w:rFonts w:eastAsia="Times New Roman" w:cs="Arial"/>
          <w:b/>
          <w:sz w:val="21"/>
          <w:szCs w:val="21"/>
          <w:lang w:eastAsia="pt-BR"/>
        </w:rPr>
        <w:t>rs</w:t>
      </w:r>
      <w:proofErr w:type="spellEnd"/>
    </w:p>
    <w:p w:rsidR="00844D7A" w:rsidRPr="00844D7A" w:rsidRDefault="00844D7A" w:rsidP="00844D7A">
      <w:pPr>
        <w:spacing w:after="120"/>
        <w:ind w:firstLine="0"/>
        <w:jc w:val="center"/>
        <w:rPr>
          <w:rFonts w:eastAsia="Times New Roman" w:cs="Arial"/>
          <w:b/>
          <w:sz w:val="21"/>
          <w:szCs w:val="21"/>
          <w:lang w:eastAsia="pt-BR"/>
        </w:rPr>
      </w:pPr>
      <w:r w:rsidRPr="00844D7A">
        <w:rPr>
          <w:rFonts w:eastAsia="Times New Roman" w:cs="Arial"/>
          <w:b/>
          <w:sz w:val="21"/>
          <w:szCs w:val="21"/>
          <w:lang w:eastAsia="pt-BR"/>
        </w:rPr>
        <w:t xml:space="preserve">Balanço Financeiro </w:t>
      </w:r>
    </w:p>
    <w:p w:rsidR="00844D7A" w:rsidRPr="00844D7A" w:rsidRDefault="00844D7A" w:rsidP="00844D7A">
      <w:pPr>
        <w:spacing w:after="120"/>
        <w:ind w:firstLine="0"/>
        <w:jc w:val="right"/>
        <w:rPr>
          <w:rFonts w:eastAsia="Times New Roman" w:cs="Arial"/>
          <w:b/>
          <w:sz w:val="21"/>
          <w:szCs w:val="21"/>
          <w:lang w:eastAsia="pt-BR"/>
        </w:rPr>
      </w:pPr>
      <w:r w:rsidRPr="00844D7A">
        <w:rPr>
          <w:rFonts w:eastAsia="Times New Roman" w:cs="Arial"/>
          <w:b/>
          <w:sz w:val="21"/>
          <w:szCs w:val="21"/>
          <w:lang w:eastAsia="pt-BR"/>
        </w:rPr>
        <w:t>Exercício de:</w:t>
      </w:r>
      <w:r w:rsidR="004F74E1">
        <w:rPr>
          <w:rFonts w:eastAsia="Times New Roman" w:cs="Arial"/>
          <w:b/>
          <w:sz w:val="21"/>
          <w:szCs w:val="21"/>
          <w:lang w:eastAsia="pt-BR"/>
        </w:rPr>
        <w:t>2018</w:t>
      </w:r>
    </w:p>
    <w:tbl>
      <w:tblPr>
        <w:tblW w:w="9121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"/>
        <w:gridCol w:w="5238"/>
        <w:gridCol w:w="567"/>
        <w:gridCol w:w="1559"/>
        <w:gridCol w:w="1703"/>
      </w:tblGrid>
      <w:tr w:rsidR="00844D7A" w:rsidRPr="00844D7A">
        <w:trPr>
          <w:trHeight w:val="297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DISPÊNDIOS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413"/>
        </w:trPr>
        <w:tc>
          <w:tcPr>
            <w:tcW w:w="5238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bottom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Nota</w:t>
            </w:r>
          </w:p>
        </w:tc>
        <w:tc>
          <w:tcPr>
            <w:tcW w:w="1559" w:type="dxa"/>
            <w:tcMar>
              <w:top w:w="15" w:type="dxa"/>
              <w:left w:w="49" w:type="dxa"/>
              <w:bottom w:w="0" w:type="dxa"/>
              <w:right w:w="49" w:type="dxa"/>
            </w:tcMar>
            <w:vAlign w:val="bottom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Exercício</w:t>
            </w:r>
          </w:p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Atual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bottom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Exercício Anterior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 xml:space="preserve">Despesa Orçamentária (VI) 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19.872.295,59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17.937.087,46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 xml:space="preserve">   Ordinária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10.396.525.39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sz w:val="21"/>
                <w:szCs w:val="21"/>
                <w:lang w:eastAsia="pt-BR"/>
              </w:rPr>
              <w:t>10.316.816,31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 xml:space="preserve">   Vinculada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19.872.295,59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sz w:val="21"/>
                <w:szCs w:val="21"/>
                <w:lang w:eastAsia="pt-BR"/>
              </w:rPr>
              <w:t>17.937.087,46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Recursos Destinados à Educação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3.074.309,08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2.816.378,21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Recursos Destinados à Saúde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2.624.078,54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2.336.000,05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Recursos Destinados à Previdência Social – RPPS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3.237.382,58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2.467.892,89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Recursos Destinados à Previdência Social – RGPS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594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Recursos Destinados à </w:t>
            </w: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Assistência Social</w:t>
            </w: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(…)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Outras Destinações de Recursos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 xml:space="preserve">Transferências Financeiras Concedidas (VII) 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858.183,95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793.088,92</w:t>
            </w:r>
            <w:r w:rsidR="00844D7A"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Concedidas para a Execução Orçamentária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858.183,95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793.088,92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309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Concedidas Independentes de Execução Orçamentária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309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Concedidas para Aportes de recursos para o RPPS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309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Transferências Concedidas para Aportes de recursos para o RGPS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 xml:space="preserve">Pagamentos </w:t>
            </w:r>
            <w:proofErr w:type="spellStart"/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Extraorçamentários</w:t>
            </w:r>
            <w:proofErr w:type="spellEnd"/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 xml:space="preserve"> (VIII) 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3.333.545,39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2.771.611,00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Pagamentos de Restos a Pagar Não Processados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343.669,16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152.286,49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Pagamentos de Restos a Pagar Processados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302.486,52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bCs/>
                <w:sz w:val="21"/>
                <w:szCs w:val="21"/>
                <w:lang w:eastAsia="pt-BR"/>
              </w:rPr>
              <w:t>337.530,12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Depósitos Restituíveis e Valores Vinculados 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2.687.389,71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2.281.794,39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 xml:space="preserve">Outros Pagamentos </w:t>
            </w:r>
            <w:proofErr w:type="spellStart"/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Extraorrçamentários</w:t>
            </w:r>
            <w:proofErr w:type="spellEnd"/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 xml:space="preserve">Saldo para o Exercício Seguinte (IX) 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pt-BR"/>
              </w:rPr>
              <w:t>10.878.131,17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10.178.406,48</w:t>
            </w:r>
            <w:r w:rsidR="00844D7A"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Caixa e Equivalentes de Caixa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10.878.131,17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bCs/>
                <w:sz w:val="21"/>
                <w:szCs w:val="21"/>
                <w:lang w:eastAsia="pt-BR"/>
              </w:rPr>
              <w:t>10.178.406,48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Depósitos Restituíveis e Valores Vinculados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784329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eastAsia="pt-BR"/>
              </w:rPr>
              <w:t>0,00</w:t>
            </w:r>
            <w:r w:rsidR="00844D7A"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Cs/>
                <w:sz w:val="21"/>
                <w:szCs w:val="21"/>
                <w:lang w:eastAsia="pt-BR"/>
              </w:rPr>
              <w:t> </w:t>
            </w:r>
          </w:p>
        </w:tc>
      </w:tr>
      <w:tr w:rsidR="00844D7A" w:rsidRPr="00844D7A" w:rsidTr="004F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" w:type="dxa"/>
          <w:trHeight w:val="297"/>
        </w:trPr>
        <w:tc>
          <w:tcPr>
            <w:tcW w:w="5238" w:type="dxa"/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TOTAL (X) = (VI + VII + VIII + IX)</w:t>
            </w:r>
          </w:p>
        </w:tc>
        <w:tc>
          <w:tcPr>
            <w:tcW w:w="567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jc w:val="center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</w:p>
        </w:tc>
        <w:tc>
          <w:tcPr>
            <w:tcW w:w="1559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  <w:r w:rsidR="00784329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34.942.156,10</w:t>
            </w:r>
          </w:p>
        </w:tc>
        <w:tc>
          <w:tcPr>
            <w:tcW w:w="1703" w:type="dxa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</w:tcPr>
          <w:p w:rsidR="00844D7A" w:rsidRPr="00844D7A" w:rsidRDefault="00844D7A" w:rsidP="00844D7A">
            <w:pPr>
              <w:spacing w:after="120"/>
              <w:ind w:firstLine="0"/>
              <w:rPr>
                <w:rFonts w:eastAsia="Times New Roman" w:cs="Arial"/>
                <w:b/>
                <w:sz w:val="21"/>
                <w:szCs w:val="21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 </w:t>
            </w:r>
            <w:r w:rsidR="004F74E1">
              <w:rPr>
                <w:rFonts w:eastAsia="Times New Roman" w:cs="Arial"/>
                <w:b/>
                <w:bCs/>
                <w:sz w:val="21"/>
                <w:szCs w:val="21"/>
                <w:lang w:eastAsia="pt-BR"/>
              </w:rPr>
              <w:t>31.680.193,86</w:t>
            </w:r>
          </w:p>
        </w:tc>
      </w:tr>
    </w:tbl>
    <w:p w:rsidR="00844D7A" w:rsidRDefault="00844D7A" w:rsidP="00844D7A">
      <w:pPr>
        <w:pStyle w:val="Subttulo"/>
        <w:spacing w:after="120"/>
        <w:rPr>
          <w:sz w:val="22"/>
          <w:szCs w:val="22"/>
          <w:lang w:eastAsia="pt-BR"/>
        </w:rPr>
      </w:pPr>
      <w:bookmarkStart w:id="1" w:name="_Toc497473722"/>
    </w:p>
    <w:p w:rsidR="00844D7A" w:rsidRDefault="00844D7A" w:rsidP="00844D7A">
      <w:pPr>
        <w:pStyle w:val="Subttulo"/>
        <w:spacing w:after="120"/>
        <w:rPr>
          <w:sz w:val="22"/>
          <w:szCs w:val="22"/>
          <w:lang w:eastAsia="pt-BR"/>
        </w:rPr>
      </w:pPr>
    </w:p>
    <w:p w:rsidR="00844D7A" w:rsidRDefault="00844D7A" w:rsidP="00844D7A">
      <w:pPr>
        <w:pStyle w:val="Subttulo"/>
        <w:spacing w:after="120"/>
        <w:rPr>
          <w:sz w:val="22"/>
          <w:szCs w:val="22"/>
          <w:lang w:eastAsia="pt-BR"/>
        </w:rPr>
      </w:pPr>
    </w:p>
    <w:p w:rsidR="00844D7A" w:rsidRPr="00844D7A" w:rsidRDefault="00844D7A" w:rsidP="00844D7A">
      <w:pPr>
        <w:pStyle w:val="Subttulo"/>
        <w:spacing w:after="120"/>
        <w:jc w:val="center"/>
        <w:rPr>
          <w:sz w:val="22"/>
          <w:szCs w:val="22"/>
          <w:lang w:eastAsia="pt-BR"/>
        </w:rPr>
      </w:pPr>
      <w:r w:rsidRPr="00844D7A">
        <w:rPr>
          <w:sz w:val="22"/>
          <w:szCs w:val="22"/>
          <w:lang w:eastAsia="pt-BR"/>
        </w:rPr>
        <w:t>Notas Explicativas do Balanço Financeiro</w:t>
      </w:r>
      <w:bookmarkEnd w:id="1"/>
    </w:p>
    <w:p w:rsidR="00844D7A" w:rsidRPr="00844D7A" w:rsidRDefault="00844D7A" w:rsidP="00844D7A">
      <w:pPr>
        <w:pStyle w:val="Corpodetexto"/>
        <w:spacing w:line="240" w:lineRule="auto"/>
        <w:rPr>
          <w:rFonts w:cs="Calibri"/>
          <w:b/>
        </w:rPr>
      </w:pPr>
    </w:p>
    <w:p w:rsidR="00844D7A" w:rsidRPr="00844D7A" w:rsidRDefault="00844D7A" w:rsidP="00844D7A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szCs w:val="22"/>
          <w:lang w:eastAsia="pt-BR"/>
        </w:rPr>
      </w:pPr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Nota 1 - Receitas Orçamentárias: </w:t>
      </w:r>
      <w:r w:rsidRPr="00844D7A">
        <w:rPr>
          <w:rFonts w:eastAsia="Times New Roman" w:cs="Arial"/>
          <w:sz w:val="22"/>
          <w:szCs w:val="22"/>
          <w:lang w:eastAsia="pt-BR"/>
        </w:rPr>
        <w:t xml:space="preserve">são apresentadas com exclusão das operações </w:t>
      </w:r>
      <w:proofErr w:type="spellStart"/>
      <w:r w:rsidRPr="00844D7A">
        <w:rPr>
          <w:rFonts w:eastAsia="Times New Roman" w:cs="Arial"/>
          <w:sz w:val="22"/>
          <w:szCs w:val="22"/>
          <w:lang w:eastAsia="pt-BR"/>
        </w:rPr>
        <w:t>intraorçamentárias</w:t>
      </w:r>
      <w:proofErr w:type="spellEnd"/>
      <w:r w:rsidRPr="00844D7A">
        <w:rPr>
          <w:rFonts w:eastAsia="Times New Roman" w:cs="Arial"/>
          <w:sz w:val="22"/>
          <w:szCs w:val="22"/>
          <w:lang w:eastAsia="pt-BR"/>
        </w:rPr>
        <w:t xml:space="preserve"> (já detalhadas em nota explicativa do Balanço Orçamentário) e líquidas das deduções ocorridas. O detalhamento das deduções da receita orçamentária </w:t>
      </w:r>
      <w:r w:rsidRPr="00844D7A">
        <w:rPr>
          <w:rFonts w:eastAsia="Times New Roman" w:cs="Arial"/>
          <w:b/>
          <w:sz w:val="22"/>
          <w:szCs w:val="22"/>
          <w:lang w:eastAsia="pt-BR"/>
        </w:rPr>
        <w:t>do exercício de 20</w:t>
      </w:r>
      <w:r w:rsidR="004F74E1">
        <w:rPr>
          <w:rFonts w:eastAsia="Times New Roman" w:cs="Arial"/>
          <w:b/>
          <w:sz w:val="22"/>
          <w:szCs w:val="22"/>
          <w:lang w:eastAsia="pt-BR"/>
        </w:rPr>
        <w:t>17</w:t>
      </w:r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 </w:t>
      </w:r>
      <w:r w:rsidRPr="00844D7A">
        <w:rPr>
          <w:rFonts w:eastAsia="Times New Roman" w:cs="Arial"/>
          <w:sz w:val="22"/>
          <w:szCs w:val="22"/>
          <w:lang w:eastAsia="pt-BR"/>
        </w:rPr>
        <w:t xml:space="preserve"> é apresentado no quadro a seguir:</w:t>
      </w:r>
    </w:p>
    <w:p w:rsidR="00844D7A" w:rsidRPr="00844D7A" w:rsidRDefault="00844D7A" w:rsidP="00844D7A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szCs w:val="22"/>
          <w:lang w:eastAsia="pt-BR"/>
        </w:rPr>
      </w:pPr>
    </w:p>
    <w:tbl>
      <w:tblPr>
        <w:tblW w:w="92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7"/>
        <w:gridCol w:w="1435"/>
      </w:tblGrid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Natureza da Dedução de Receita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Exercício Atual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9.1.1.1.0.00.00.00 - (R) DEDUCOES DA RECEITA DE IMPOSTOS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-42.414,21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9.1.2.0.0.00.00.00 - (R) DEDUCOES DA RECEITA DE CONTRIBUIÇÕES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9.1.3.2.5.00.00.00 - (R) DEDUCOES DA RECEITA DE REMUNERAÇÃO DE DEPOSITOS BANCARIOS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9.1.3.2.8.00.00.00 - (R) DEDUÇÃO DA REMUNERAÇÃO DOS INVESTIMENTOS DO REGIME PROPRIO DE PREVIDENCIA SOCIAL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-41.823,55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9.1.7.2.1.01.02.06 - (R) DEDUÇÃO DA RECEITA PARA FORMAÇÃO DO FUNDEB – FPM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-1.383.798,46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9.1.7.2.1.01.05.04 - (R) DEDUÇÃO DA RECEITA PARA FORMAÇÃO DO FUNDEB – ITR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-8.147,78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9.1.7.2.1.33.00.00 - (R) DEDUÇÃO DAS TRANSFERÊNCIAS DE RECURSOS DO SUS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9.1.7.2.1.34.00.00 - (R) DEDUÇÃO DAS TRANSFERÊNCIAS DE RECURSOS DO FNAS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9.1.7.2.1.35.00.00 - (R) DEDUÇÃO DAS TRANSFERÊNCIAS DE RECURSOS DO FNDE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9.1.7.2.1.36.00.05 - (R) DEDUÇÃO DA RECEITA PARA FORMACAO DO FUNDEB - ICMS DESONERACAO - LEI COMPLEMENTAR 87/96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-5.407,80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9.1.7.2.2.01.01.05  - (R) DEDUÇÃO DA RECEITA PARA FORMACAO DO FUNDEB – ICMS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-850.534,07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9.1.7.2.2.01.02.04 - (R) DEDUÇÃO DA RECEITA PARA FORMACAO DO FUNDEB – IPVA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-90.606,90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9.1.7.2.2.01.04.05 - (R) DEDUÇÃO DA RECEITA PARA FORMACAO DO FUNDEB - IPI/EXPORTACAO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-13.196,50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9.1.7.2.2.33.00.00 - (R) DEDUÇÃO DAS TRANSFERENCIAS DE RECURSOS DO ESTADO PARA PROGRAMAS DE SAUDE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9.1.7.2.4.01.00.00 - (R) DEDUÇÃO DA RECEITA DAS TRANSFERENCIAS DOS RECURSOS DO FUNDEB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9.1.7.6.0.00.00.00 - (R) DEDUÇÕES DAS RECEITAS DE TRANSFERENCIAS DE CONVÊNIOS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9.1.9.1.1.00.00.00  - (R) DEDUÇÃO DAS MULTAS E JUROS DE MORA DOS TRIBUTOS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9.1.9.1.3.00.00.00 - (R) DEDUÇÃO DAS MULTAS E JUROS DE MORA DA DIVIDA ATIVA DOS TRIBUTOS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9.1.9.3.1.00.00.00 - (R)  DEDUÇÃO DA RECEITA DA DIVIDA ATIVA TRIBUTARIA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9.1.9.9.0.99.00.00  - (R) DEDUÇÕES DAS OUTRAS RECEITAS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-29.255,63</w:t>
            </w: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9.2.4.7.0.00.00.00 - (R) DEDUÇÃO DAS TRANSFERENCIAS DE CONVENIOS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35" w:type="dxa"/>
            <w:shd w:val="clear" w:color="000000" w:fill="FFFFFF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7797" w:type="dxa"/>
            <w:shd w:val="clear" w:color="000000" w:fill="FFFFFF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Total das Deduções da Receita Orçamentária</w:t>
            </w:r>
          </w:p>
        </w:tc>
        <w:tc>
          <w:tcPr>
            <w:tcW w:w="1435" w:type="dxa"/>
            <w:shd w:val="clear" w:color="000000" w:fill="FFFFFF"/>
          </w:tcPr>
          <w:p w:rsidR="00844D7A" w:rsidRPr="00844D7A" w:rsidRDefault="004F74E1" w:rsidP="00844D7A">
            <w:pPr>
              <w:spacing w:after="0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-2.465.184,90</w:t>
            </w:r>
          </w:p>
        </w:tc>
      </w:tr>
    </w:tbl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Nota 2 - Recursos Vinculados à Educação: </w:t>
      </w:r>
      <w:r w:rsidRPr="00844D7A">
        <w:rPr>
          <w:rFonts w:eastAsia="Times New Roman" w:cs="Arial"/>
          <w:sz w:val="22"/>
          <w:szCs w:val="22"/>
          <w:lang w:eastAsia="pt-BR"/>
        </w:rPr>
        <w:t>estão representados nessas linhas, os valores relativos às receitas arrecadadas e às despesas empenhadas por conta de recursos que, por determinação constitucional ou legal, devem ser aplicados em ações voltadas à educação.  Calha observar que, de acordo com o disposto na Resolução nº 918/2011, do Tribunal de Contas do Estado e a metodologia de cálculo estabelecida pela Instrução Normativa nº 19/2011, daquela Corte de Contas, os gastos constitucionais do  Município com a Manutenção e Desenvolvimento do Ensino representaram, em 201</w:t>
      </w:r>
      <w:r w:rsidR="00455810">
        <w:rPr>
          <w:rFonts w:eastAsia="Times New Roman" w:cs="Arial"/>
          <w:sz w:val="22"/>
          <w:szCs w:val="22"/>
          <w:lang w:eastAsia="pt-BR"/>
        </w:rPr>
        <w:t>7</w:t>
      </w:r>
      <w:r w:rsidRPr="00844D7A">
        <w:rPr>
          <w:rFonts w:eastAsia="Times New Roman" w:cs="Arial"/>
          <w:sz w:val="22"/>
          <w:szCs w:val="22"/>
          <w:lang w:eastAsia="pt-BR"/>
        </w:rPr>
        <w:t xml:space="preserve">,  </w:t>
      </w:r>
      <w:r w:rsidR="00455810">
        <w:rPr>
          <w:rFonts w:eastAsia="Times New Roman" w:cs="Arial"/>
          <w:sz w:val="22"/>
          <w:szCs w:val="22"/>
          <w:lang w:eastAsia="pt-BR"/>
        </w:rPr>
        <w:t>27,06</w:t>
      </w:r>
      <w:r w:rsidRPr="00844D7A">
        <w:rPr>
          <w:rFonts w:eastAsia="Times New Roman" w:cs="Arial"/>
          <w:sz w:val="22"/>
          <w:szCs w:val="22"/>
          <w:lang w:eastAsia="pt-BR"/>
        </w:rPr>
        <w:t>% da receita resultante de impostos e  transferências.</w:t>
      </w:r>
    </w:p>
    <w:p w:rsidR="00844D7A" w:rsidRPr="00844D7A" w:rsidRDefault="00844D7A" w:rsidP="00530C6A">
      <w:pPr>
        <w:spacing w:after="0"/>
        <w:ind w:firstLine="0"/>
        <w:rPr>
          <w:rFonts w:eastAsia="Times New Roman" w:cs="Arial"/>
          <w:sz w:val="22"/>
          <w:szCs w:val="22"/>
          <w:lang w:eastAsia="pt-BR"/>
        </w:rPr>
      </w:pPr>
    </w:p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Nota 3 - Recursos Vinculados à Saúde: </w:t>
      </w:r>
      <w:r w:rsidRPr="00844D7A">
        <w:rPr>
          <w:rFonts w:eastAsia="Times New Roman" w:cs="Arial"/>
          <w:sz w:val="22"/>
          <w:szCs w:val="22"/>
          <w:lang w:eastAsia="pt-BR"/>
        </w:rPr>
        <w:t xml:space="preserve">referem-se aos valores relativos das receitas arrecadadas e às despesas empenhadas por conta de recursos que, por determinação constitucional </w:t>
      </w:r>
      <w:r w:rsidRPr="00844D7A">
        <w:rPr>
          <w:rFonts w:eastAsia="Times New Roman" w:cs="Arial"/>
          <w:sz w:val="22"/>
          <w:szCs w:val="22"/>
          <w:lang w:eastAsia="pt-BR"/>
        </w:rPr>
        <w:lastRenderedPageBreak/>
        <w:t xml:space="preserve">ou legal, devem ser aplicados em ações e serviços públicos de saúde os quais representaram  </w:t>
      </w:r>
      <w:r w:rsidR="0033263B">
        <w:rPr>
          <w:rFonts w:eastAsia="Times New Roman" w:cs="Arial"/>
          <w:sz w:val="22"/>
          <w:szCs w:val="22"/>
          <w:lang w:eastAsia="pt-BR"/>
        </w:rPr>
        <w:t>18,85</w:t>
      </w:r>
      <w:r w:rsidRPr="00844D7A">
        <w:rPr>
          <w:rFonts w:eastAsia="Times New Roman" w:cs="Arial"/>
          <w:sz w:val="22"/>
          <w:szCs w:val="22"/>
          <w:lang w:eastAsia="pt-BR"/>
        </w:rPr>
        <w:t>% da receita resultante de impostos e  transferências, conforme a metodologia de cálculo do TCE/RS. O detalhamento das fontes de recursos obedece a padronização estabelecida pela Portaria SES/RS nº 882/2012.</w:t>
      </w:r>
    </w:p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844D7A" w:rsidRPr="00844D7A" w:rsidRDefault="00844D7A" w:rsidP="003C336F">
      <w:pPr>
        <w:spacing w:after="0"/>
        <w:rPr>
          <w:rFonts w:eastAsia="Times New Roman" w:cs="Arial"/>
          <w:sz w:val="22"/>
          <w:szCs w:val="22"/>
          <w:lang w:eastAsia="pt-BR"/>
        </w:rPr>
      </w:pPr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Nota 4 -Recursos Destinados à Previdência Social – RPPS: </w:t>
      </w:r>
      <w:r w:rsidRPr="00844D7A">
        <w:rPr>
          <w:rFonts w:eastAsia="Times New Roman" w:cs="Arial"/>
          <w:sz w:val="22"/>
          <w:szCs w:val="22"/>
          <w:lang w:eastAsia="pt-BR"/>
        </w:rPr>
        <w:t xml:space="preserve">os valores informados nessas linhas se referem as receitas arrecadadas e às despesas empenhadas por conta dos recursos que,  nos termos da Lei Municipal nº </w:t>
      </w:r>
      <w:r w:rsidR="0033263B">
        <w:rPr>
          <w:rFonts w:eastAsia="Times New Roman" w:cs="Arial"/>
          <w:sz w:val="22"/>
          <w:szCs w:val="22"/>
          <w:lang w:eastAsia="pt-BR"/>
        </w:rPr>
        <w:t>1998/2006</w:t>
      </w:r>
      <w:r w:rsidRPr="00844D7A">
        <w:rPr>
          <w:rFonts w:eastAsia="Times New Roman" w:cs="Arial"/>
          <w:sz w:val="22"/>
          <w:szCs w:val="22"/>
          <w:lang w:eastAsia="pt-BR"/>
        </w:rPr>
        <w:t xml:space="preserve"> são vinculados ao  Regime Próprio de Previdência Social dos Servidores, conforme o seguinte detalhamento.</w:t>
      </w:r>
    </w:p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tbl>
      <w:tblPr>
        <w:tblpPr w:leftFromText="141" w:rightFromText="141" w:vertAnchor="text" w:horzAnchor="margin" w:tblpXSpec="center" w:tblpY="99"/>
        <w:tblW w:w="10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01"/>
        <w:gridCol w:w="1150"/>
        <w:gridCol w:w="1150"/>
        <w:gridCol w:w="1287"/>
        <w:gridCol w:w="1541"/>
        <w:gridCol w:w="1150"/>
        <w:gridCol w:w="1212"/>
        <w:gridCol w:w="1150"/>
      </w:tblGrid>
      <w:tr w:rsidR="003C336F" w:rsidRPr="003C336F" w:rsidTr="003C336F">
        <w:trPr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ARRECADAÇÃO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PODER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CONTRIB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SERVIDORES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COMPENSAÇÃO</w:t>
            </w:r>
          </w:p>
        </w:tc>
        <w:tc>
          <w:tcPr>
            <w:tcW w:w="3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PARCELAS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PÚBLICO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P/RECUPER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PODER 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FINANCEIRA</w:t>
            </w:r>
          </w:p>
        </w:tc>
        <w:tc>
          <w:tcPr>
            <w:tcW w:w="35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PASSIVO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PÚBLICO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1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PRINCIPAL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APLIC.FINAN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(1)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JAN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67.894,27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108.305,24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176.199,51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54.276,09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230.475,60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109.833,61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340.309,21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FEV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63.454,09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101.222,14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164.676,23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50.726,42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215.402,65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89.630,71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305.033,36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60.597,08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96.664,74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157.261,82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48.442,45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205.704,27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133.681,50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339.385,77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ABR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60.064,02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95.814,42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155.878,44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48.016,34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203.894,78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46.946,43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250.841,21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MAI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59.719,67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95.265,20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154.984,87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47.741,06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202.725,93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35.754,67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238.480,60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JUN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59.329,52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94.642,87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153.972,39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47.429,14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201.401,53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59.420,35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260.821,88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60.087,92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95.852,68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155.940,60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48.035,44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203.976,04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141.033,27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345.009,31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AGO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61.117,50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97.495,01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158.612,51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48.858,49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207.471,00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79.662,17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287.133,17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59.592,48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95.062,23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154.654,71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47.639,31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415.228,40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617.522,42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82.271,78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699.794,20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59.578,01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95.039,15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154.617,16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47.627,80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14.527,87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216.772,83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35.055,79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251.828,62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NOV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59.538,23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94.975,80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154.514,03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47.596,00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14.272,40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216.382,43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20.913,79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237.296,22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13º SAL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57.467,30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91.672,23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149.139,53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45.940,45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195.079,98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195.079,98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DEZ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58.405,95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93.169,50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151.575,45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46.690,78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198.266,23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57.059,70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255.325,93</w:t>
            </w:r>
          </w:p>
        </w:tc>
      </w:tr>
      <w:tr w:rsidR="003C336F" w:rsidRPr="003C336F" w:rsidTr="003C336F">
        <w:trPr>
          <w:trHeight w:val="25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786.846,04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1.255.181,21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2.042.027,25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629.019,77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444.028,67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3.115.075,69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891.263,77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4.006.339,46</w:t>
            </w:r>
          </w:p>
        </w:tc>
      </w:tr>
    </w:tbl>
    <w:p w:rsid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3C336F" w:rsidRDefault="003C336F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3C336F" w:rsidRDefault="003C336F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tbl>
      <w:tblPr>
        <w:tblW w:w="4701" w:type="dxa"/>
        <w:tblInd w:w="1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1094"/>
        <w:gridCol w:w="1182"/>
        <w:gridCol w:w="1200"/>
      </w:tblGrid>
      <w:tr w:rsidR="003C336F" w:rsidRPr="003C336F" w:rsidTr="003C336F">
        <w:trPr>
          <w:trHeight w:val="255"/>
        </w:trPr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DESPESAS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DEMAIS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(2)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SALDO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BENEFÍCIOS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DESPESAS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(1-2)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221.933,65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495,00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222.428,65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117.880,56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243.634,10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990,00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244.624,10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60.409,26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243.484,84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495,00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243.979,84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95.405,93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245.346,88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245.836,88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5.004,33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248.715,75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249.205,75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-10.725,15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244.623,14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245.113,14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15.708,74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294.492,79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5.990,00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300.482,79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44.526,52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252.543,48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1.067,50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253.610,98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33.522,19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255.568,13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256.058,13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443.736,07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257.977,46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499,40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258.476,86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-6.648,24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264.575,80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1.042,40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265.618,20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-28.321,98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184.389,05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490,00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184.879,05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10.200,93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267.005,85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62,36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267.068,21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-11.742,28</w:t>
            </w:r>
          </w:p>
        </w:tc>
      </w:tr>
      <w:tr w:rsidR="003C336F" w:rsidRPr="003C336F" w:rsidTr="003C336F">
        <w:trPr>
          <w:trHeight w:val="255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3.224.290,92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13.091,66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3.237.382,58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36F" w:rsidRPr="003C336F" w:rsidRDefault="003C336F" w:rsidP="003C336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3C33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768.956,88</w:t>
            </w:r>
          </w:p>
        </w:tc>
      </w:tr>
    </w:tbl>
    <w:p w:rsidR="003C336F" w:rsidRDefault="003C336F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3C336F" w:rsidRDefault="003C336F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3C336F" w:rsidRDefault="003C336F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3C336F" w:rsidRPr="00844D7A" w:rsidRDefault="003C336F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844D7A" w:rsidRPr="00844D7A" w:rsidRDefault="00844D7A" w:rsidP="00844D7A">
      <w:pPr>
        <w:spacing w:after="0"/>
        <w:rPr>
          <w:rFonts w:eastAsia="Times New Roman" w:cs="Arial"/>
          <w:b/>
          <w:sz w:val="22"/>
          <w:szCs w:val="22"/>
          <w:lang w:eastAsia="pt-BR"/>
        </w:rPr>
      </w:pPr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Nota </w:t>
      </w:r>
      <w:r w:rsidR="003C336F">
        <w:rPr>
          <w:rFonts w:eastAsia="Times New Roman" w:cs="Arial"/>
          <w:b/>
          <w:sz w:val="22"/>
          <w:szCs w:val="22"/>
          <w:lang w:eastAsia="pt-BR"/>
        </w:rPr>
        <w:t>5</w:t>
      </w:r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 – Recebimentos e pagamentos </w:t>
      </w:r>
      <w:proofErr w:type="spellStart"/>
      <w:r w:rsidRPr="00844D7A">
        <w:rPr>
          <w:rFonts w:eastAsia="Times New Roman" w:cs="Arial"/>
          <w:b/>
          <w:sz w:val="22"/>
          <w:szCs w:val="22"/>
          <w:lang w:eastAsia="pt-BR"/>
        </w:rPr>
        <w:t>extraorçamentários</w:t>
      </w:r>
      <w:proofErr w:type="spellEnd"/>
      <w:r w:rsidRPr="00844D7A">
        <w:rPr>
          <w:rFonts w:eastAsia="Times New Roman" w:cs="Arial"/>
          <w:b/>
          <w:sz w:val="22"/>
          <w:szCs w:val="22"/>
          <w:lang w:eastAsia="pt-BR"/>
        </w:rPr>
        <w:t xml:space="preserve">: </w:t>
      </w:r>
      <w:r w:rsidRPr="00844D7A">
        <w:rPr>
          <w:rFonts w:eastAsia="Times New Roman" w:cs="Arial"/>
          <w:sz w:val="22"/>
          <w:szCs w:val="22"/>
          <w:lang w:eastAsia="pt-BR"/>
        </w:rPr>
        <w:t xml:space="preserve">os itens desses grupos correspondem aos ingressos e dispêndios que, na forma do parágrafo único do art. 3º a art. 103 da Lei Federal nº 4.320/64 se referem a operações que não transitam pelo orçamento, bem como a contrapartida das  inscrições (ingressos) e pagamentos (dispêndios) de restos a pagar processados e não processados. O quadro a seguir mostra a  movimentação </w:t>
      </w:r>
      <w:r w:rsidRPr="00844D7A">
        <w:rPr>
          <w:rFonts w:eastAsia="Times New Roman" w:cs="Arial"/>
          <w:b/>
          <w:sz w:val="22"/>
          <w:szCs w:val="22"/>
          <w:lang w:eastAsia="pt-BR"/>
        </w:rPr>
        <w:t>ocorrida no exercício financeiro de 20</w:t>
      </w:r>
      <w:r w:rsidR="003C336F">
        <w:rPr>
          <w:rFonts w:eastAsia="Times New Roman" w:cs="Arial"/>
          <w:b/>
          <w:sz w:val="22"/>
          <w:szCs w:val="22"/>
          <w:lang w:eastAsia="pt-BR"/>
        </w:rPr>
        <w:t>17</w:t>
      </w:r>
      <w:r w:rsidRPr="00844D7A">
        <w:rPr>
          <w:rFonts w:eastAsia="Times New Roman" w:cs="Arial"/>
          <w:b/>
          <w:sz w:val="22"/>
          <w:szCs w:val="22"/>
          <w:lang w:eastAsia="pt-BR"/>
        </w:rPr>
        <w:t>:</w:t>
      </w:r>
    </w:p>
    <w:p w:rsidR="00844D7A" w:rsidRPr="00844D7A" w:rsidRDefault="00844D7A" w:rsidP="00844D7A">
      <w:pPr>
        <w:spacing w:after="0"/>
        <w:rPr>
          <w:rFonts w:eastAsia="Times New Roman" w:cs="Arial"/>
          <w:b/>
          <w:sz w:val="22"/>
          <w:szCs w:val="22"/>
          <w:lang w:eastAsia="pt-BR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6"/>
        <w:gridCol w:w="1559"/>
        <w:gridCol w:w="1559"/>
      </w:tblGrid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/>
                <w:sz w:val="22"/>
                <w:szCs w:val="22"/>
                <w:lang w:eastAsia="pt-BR"/>
              </w:rPr>
              <w:t>Título / Subtítulo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/>
                <w:sz w:val="22"/>
                <w:szCs w:val="22"/>
                <w:lang w:eastAsia="pt-BR"/>
              </w:rPr>
              <w:t>Ingressos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jc w:val="center"/>
              <w:rPr>
                <w:rFonts w:eastAsia="Times New Roman" w:cs="Arial"/>
                <w:b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/>
                <w:sz w:val="22"/>
                <w:szCs w:val="22"/>
                <w:lang w:eastAsia="pt-BR"/>
              </w:rPr>
              <w:t>Dispêndios</w:t>
            </w: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sz w:val="22"/>
                <w:szCs w:val="22"/>
                <w:lang w:eastAsia="pt-BR"/>
              </w:rPr>
              <w:t>5.3.1.7.0.00.00 - RP NÃO PROCESSADOS INSCRIÇÃO NO EXERCÍCIO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000000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sz w:val="22"/>
                <w:szCs w:val="22"/>
                <w:lang w:eastAsia="pt-BR"/>
              </w:rPr>
              <w:t xml:space="preserve">5.3.2.7.0.00.00  -RP PROCESSADOS – INSCRIÇÃO NO EXERCICIO 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000000"/>
          </w:tcPr>
          <w:p w:rsidR="00844D7A" w:rsidRPr="00844D7A" w:rsidRDefault="00844D7A" w:rsidP="00844D7A">
            <w:pPr>
              <w:spacing w:after="0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6.3.1.4.0.00.00 – RP NÃO PROCESSADOS – PAGOS</w:t>
            </w:r>
          </w:p>
        </w:tc>
        <w:tc>
          <w:tcPr>
            <w:tcW w:w="1559" w:type="dxa"/>
            <w:shd w:val="clear" w:color="000000" w:fill="000000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F8779E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pt-BR"/>
              </w:rPr>
              <w:t>343.669,16</w:t>
            </w: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6.3.2.2.0.00.00 – RP PROCESSADOS – PAGOS</w:t>
            </w:r>
          </w:p>
        </w:tc>
        <w:tc>
          <w:tcPr>
            <w:tcW w:w="1559" w:type="dxa"/>
            <w:shd w:val="clear" w:color="000000" w:fill="000000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F8779E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pt-BR"/>
              </w:rPr>
              <w:t>302.486,52</w:t>
            </w: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1.1.3.5.0.00.00 - DEPÓSITOS RESTITUÍVEIS E VALORES VINCULADOS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1.1.3.8.1.06.00 - VALORES EM TRANSITO REALIZAVEIS A CURTO PRAZO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1.1.3.8.1.08.00 - - CREDITOS A RECEBER POR REEMBOLSO DE SALARIO FAMILIA PAGO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1.1.3.8.1.09.00 - CREDITOS A RECEBER POR REEMBOLSO DE SALARIO MATERNIDADE PAGO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F8779E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pt-BR"/>
              </w:rPr>
              <w:t>10.461,85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F8779E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pt-BR"/>
              </w:rPr>
              <w:t>10.113,08</w:t>
            </w: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1.1.3.8.1.10.00 - AUXILIO NATALIDADE PAGO A RECUPERAR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1.1.3.8.1.11.00 - CREDITOS A RECEBER POR REEMBOLSO DE AUXILIO DOENÇA E ACIDENTES PAGOS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 xml:space="preserve">2.1.8.8.1.01.00 - CONSIGNACOES 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F8779E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pt-BR"/>
              </w:rPr>
              <w:t>167.468,28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F8779E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pt-BR"/>
              </w:rPr>
              <w:t>167.366,25</w:t>
            </w: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 xml:space="preserve">Outros recebimentos </w:t>
            </w:r>
            <w:proofErr w:type="spellStart"/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extraorçamentários</w:t>
            </w:r>
            <w:proofErr w:type="spellEnd"/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1559" w:type="dxa"/>
            <w:shd w:val="clear" w:color="000000" w:fill="000000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 xml:space="preserve">Outros pagamentos </w:t>
            </w:r>
            <w:proofErr w:type="spellStart"/>
            <w:r w:rsidRPr="00844D7A">
              <w:rPr>
                <w:rFonts w:eastAsia="Times New Roman" w:cs="Arial"/>
                <w:bCs/>
                <w:sz w:val="22"/>
                <w:szCs w:val="22"/>
                <w:lang w:eastAsia="pt-BR"/>
              </w:rPr>
              <w:t>extraorçamentários</w:t>
            </w:r>
            <w:proofErr w:type="spellEnd"/>
          </w:p>
        </w:tc>
        <w:tc>
          <w:tcPr>
            <w:tcW w:w="1559" w:type="dxa"/>
            <w:shd w:val="clear" w:color="000000" w:fill="000000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844D7A" w:rsidRPr="00844D7A">
        <w:trPr>
          <w:trHeight w:val="20"/>
        </w:trPr>
        <w:tc>
          <w:tcPr>
            <w:tcW w:w="6096" w:type="dxa"/>
            <w:shd w:val="clear" w:color="000000" w:fill="auto"/>
            <w:vAlign w:val="center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/>
                <w:bCs/>
                <w:sz w:val="22"/>
                <w:szCs w:val="22"/>
                <w:lang w:eastAsia="pt-BR"/>
              </w:rPr>
            </w:pPr>
            <w:r w:rsidRPr="00844D7A">
              <w:rPr>
                <w:rFonts w:eastAsia="Times New Roman" w:cs="Arial"/>
                <w:b/>
                <w:bCs/>
                <w:sz w:val="22"/>
                <w:szCs w:val="22"/>
                <w:lang w:eastAsia="pt-BR"/>
              </w:rPr>
              <w:t xml:space="preserve">Total de recebimentos e pagamentos </w:t>
            </w:r>
            <w:proofErr w:type="spellStart"/>
            <w:r w:rsidRPr="00844D7A">
              <w:rPr>
                <w:rFonts w:eastAsia="Times New Roman" w:cs="Arial"/>
                <w:b/>
                <w:bCs/>
                <w:sz w:val="22"/>
                <w:szCs w:val="22"/>
                <w:lang w:eastAsia="pt-BR"/>
              </w:rPr>
              <w:t>extraorçamentários</w:t>
            </w:r>
            <w:proofErr w:type="spellEnd"/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shd w:val="clear" w:color="000000" w:fill="auto"/>
          </w:tcPr>
          <w:p w:rsidR="00844D7A" w:rsidRPr="00844D7A" w:rsidRDefault="00844D7A" w:rsidP="00844D7A">
            <w:pPr>
              <w:spacing w:after="0"/>
              <w:ind w:firstLine="0"/>
              <w:rPr>
                <w:rFonts w:eastAsia="Times New Roman" w:cs="Arial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:rsidR="00844D7A" w:rsidRPr="00844D7A" w:rsidRDefault="00844D7A" w:rsidP="00844D7A">
      <w:pPr>
        <w:spacing w:after="0"/>
        <w:rPr>
          <w:rFonts w:eastAsia="Times New Roman" w:cs="Arial"/>
          <w:sz w:val="22"/>
          <w:szCs w:val="22"/>
          <w:lang w:eastAsia="pt-BR"/>
        </w:rPr>
      </w:pPr>
    </w:p>
    <w:p w:rsidR="00411653" w:rsidRPr="00844D7A" w:rsidRDefault="00411653">
      <w:pPr>
        <w:rPr>
          <w:sz w:val="22"/>
          <w:szCs w:val="22"/>
        </w:rPr>
      </w:pPr>
    </w:p>
    <w:p w:rsidR="00411653" w:rsidRPr="00844D7A" w:rsidRDefault="00411653">
      <w:pPr>
        <w:rPr>
          <w:sz w:val="22"/>
          <w:szCs w:val="22"/>
        </w:rPr>
      </w:pPr>
    </w:p>
    <w:sectPr w:rsidR="00411653" w:rsidRPr="00844D7A">
      <w:pgSz w:w="11907" w:h="16840" w:code="9"/>
      <w:pgMar w:top="851" w:right="1134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C5D"/>
    <w:rsid w:val="0033263B"/>
    <w:rsid w:val="003C336F"/>
    <w:rsid w:val="00411653"/>
    <w:rsid w:val="00455810"/>
    <w:rsid w:val="0045612A"/>
    <w:rsid w:val="004F74E1"/>
    <w:rsid w:val="00530C6A"/>
    <w:rsid w:val="006828F8"/>
    <w:rsid w:val="006E6E4D"/>
    <w:rsid w:val="00784329"/>
    <w:rsid w:val="007E0516"/>
    <w:rsid w:val="00844D7A"/>
    <w:rsid w:val="008C1782"/>
    <w:rsid w:val="009E54DF"/>
    <w:rsid w:val="00AE4C5D"/>
    <w:rsid w:val="00CC3083"/>
    <w:rsid w:val="00DD0E2C"/>
    <w:rsid w:val="00DE5BB0"/>
    <w:rsid w:val="00F8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E046E"/>
  <w15:chartTrackingRefBased/>
  <w15:docId w15:val="{2FEE4E8B-A8A1-41DE-968D-7385C13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D7A"/>
    <w:pPr>
      <w:spacing w:after="160"/>
      <w:ind w:firstLine="567"/>
      <w:jc w:val="both"/>
    </w:pPr>
    <w:rPr>
      <w:rFonts w:ascii="Calibri" w:eastAsia="Calibri" w:hAnsi="Calibri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qFormat/>
    <w:rsid w:val="00844D7A"/>
    <w:pPr>
      <w:spacing w:after="60"/>
      <w:outlineLvl w:val="1"/>
    </w:pPr>
    <w:rPr>
      <w:rFonts w:eastAsia="Times New Roman"/>
      <w:b/>
    </w:rPr>
  </w:style>
  <w:style w:type="character" w:customStyle="1" w:styleId="SubttuloChar">
    <w:name w:val="Subtítulo Char"/>
    <w:link w:val="Subttulo"/>
    <w:rsid w:val="00844D7A"/>
    <w:rPr>
      <w:rFonts w:ascii="Calibri" w:hAnsi="Calibri"/>
      <w:b/>
      <w:sz w:val="24"/>
      <w:szCs w:val="24"/>
      <w:lang w:val="pt-BR" w:eastAsia="en-US" w:bidi="ar-SA"/>
    </w:rPr>
  </w:style>
  <w:style w:type="paragraph" w:styleId="Corpodetexto">
    <w:name w:val="Body Text"/>
    <w:aliases w:val="Quote"/>
    <w:basedOn w:val="Normal"/>
    <w:link w:val="CorpodetextoChar"/>
    <w:unhideWhenUsed/>
    <w:rsid w:val="00844D7A"/>
    <w:pPr>
      <w:spacing w:after="120" w:line="276" w:lineRule="auto"/>
    </w:pPr>
    <w:rPr>
      <w:sz w:val="22"/>
      <w:szCs w:val="22"/>
    </w:rPr>
  </w:style>
  <w:style w:type="character" w:customStyle="1" w:styleId="CorpodetextoChar">
    <w:name w:val="Corpo de texto Char"/>
    <w:aliases w:val="Quote Char"/>
    <w:link w:val="Corpodetexto"/>
    <w:rsid w:val="00844D7A"/>
    <w:rPr>
      <w:rFonts w:ascii="Calibri" w:eastAsia="Calibri" w:hAnsi="Calibri"/>
      <w:sz w:val="22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1620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INTERNACIONAL  VS    FIGUEIRENSE</vt:lpstr>
    </vt:vector>
  </TitlesOfParts>
  <Company>Default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INTERNACIONAL  VS    FIGUEIRENSE</dc:title>
  <dc:subject/>
  <dc:creator>Default</dc:creator>
  <cp:keywords/>
  <cp:lastModifiedBy>Prefeitura</cp:lastModifiedBy>
  <cp:revision>11</cp:revision>
  <dcterms:created xsi:type="dcterms:W3CDTF">2018-01-26T12:41:00Z</dcterms:created>
  <dcterms:modified xsi:type="dcterms:W3CDTF">2018-01-29T11:06:00Z</dcterms:modified>
</cp:coreProperties>
</file>