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D7A" w:rsidRPr="00F20F73" w:rsidRDefault="00844D7A" w:rsidP="00844D7A">
      <w:pPr>
        <w:spacing w:after="120"/>
        <w:ind w:firstLine="0"/>
        <w:jc w:val="center"/>
        <w:rPr>
          <w:rFonts w:ascii="Times New Roman" w:eastAsia="Times New Roman" w:hAnsi="Times New Roman"/>
          <w:b/>
          <w:sz w:val="21"/>
          <w:szCs w:val="21"/>
          <w:lang w:eastAsia="pt-BR"/>
        </w:rPr>
      </w:pPr>
      <w:r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Município de </w:t>
      </w:r>
      <w:r w:rsidR="00784329"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 </w:t>
      </w:r>
      <w:proofErr w:type="spellStart"/>
      <w:r w:rsidR="00784329"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>Caibaté</w:t>
      </w:r>
      <w:proofErr w:type="spellEnd"/>
      <w:r w:rsidR="00784329"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 -RS</w:t>
      </w:r>
    </w:p>
    <w:p w:rsidR="00844D7A" w:rsidRPr="00F20F73" w:rsidRDefault="00844D7A" w:rsidP="004672E7">
      <w:pPr>
        <w:spacing w:after="120"/>
        <w:ind w:firstLine="0"/>
        <w:jc w:val="center"/>
        <w:rPr>
          <w:rFonts w:ascii="Times New Roman" w:eastAsia="Times New Roman" w:hAnsi="Times New Roman"/>
          <w:b/>
          <w:sz w:val="21"/>
          <w:szCs w:val="21"/>
          <w:lang w:eastAsia="pt-BR"/>
        </w:rPr>
      </w:pPr>
      <w:r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>Balanço Financeiro</w:t>
      </w:r>
      <w:r w:rsidR="004672E7"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 Consolidado 2018</w:t>
      </w:r>
      <w:r w:rsidRPr="00F20F73">
        <w:rPr>
          <w:rFonts w:ascii="Times New Roman" w:eastAsia="Times New Roman" w:hAnsi="Times New Roman"/>
          <w:b/>
          <w:sz w:val="21"/>
          <w:szCs w:val="21"/>
          <w:lang w:eastAsia="pt-BR"/>
        </w:rPr>
        <w:t xml:space="preserve"> </w:t>
      </w:r>
      <w:bookmarkStart w:id="0" w:name="_Toc497473722"/>
    </w:p>
    <w:p w:rsidR="00844D7A" w:rsidRPr="00F20F73" w:rsidRDefault="00844D7A" w:rsidP="004672E7">
      <w:pPr>
        <w:pStyle w:val="Subttulo"/>
        <w:spacing w:after="120"/>
        <w:ind w:left="2124" w:firstLine="708"/>
        <w:rPr>
          <w:rFonts w:ascii="Times New Roman" w:hAnsi="Times New Roman"/>
          <w:sz w:val="22"/>
          <w:szCs w:val="22"/>
          <w:lang w:eastAsia="pt-BR"/>
        </w:rPr>
      </w:pPr>
      <w:r w:rsidRPr="00F20F73">
        <w:rPr>
          <w:rFonts w:ascii="Times New Roman" w:hAnsi="Times New Roman"/>
          <w:sz w:val="22"/>
          <w:szCs w:val="22"/>
          <w:lang w:eastAsia="pt-BR"/>
        </w:rPr>
        <w:t>Notas Explicativas do Balanço Financeiro</w:t>
      </w:r>
      <w:bookmarkEnd w:id="0"/>
    </w:p>
    <w:p w:rsidR="004672E7" w:rsidRPr="00F20F73" w:rsidRDefault="004672E7" w:rsidP="004672E7">
      <w:pPr>
        <w:rPr>
          <w:rFonts w:ascii="Times New Roman" w:hAnsi="Times New Roman"/>
          <w:lang w:eastAsia="pt-BR"/>
        </w:rPr>
      </w:pPr>
    </w:p>
    <w:p w:rsidR="00844D7A" w:rsidRPr="00F20F73" w:rsidRDefault="00844D7A" w:rsidP="00844D7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1 - Receitas Orçamentárias: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são apresentadas com exclusão das operações </w:t>
      </w:r>
      <w:proofErr w:type="spellStart"/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>intraorçamentárias</w:t>
      </w:r>
      <w:proofErr w:type="spellEnd"/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 (já detalhadas em nota explicativa do Balanço Orçamentário) e líquidas das deduções ocorridas. O detalhamento das deduções da receita orçamentária </w:t>
      </w: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>do exercício de 20</w:t>
      </w:r>
      <w:r w:rsidR="004F74E1"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>1</w:t>
      </w:r>
      <w:r w:rsidR="00CD4324"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>8</w:t>
      </w: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 é apresentado no quadro a seguir:</w:t>
      </w:r>
    </w:p>
    <w:p w:rsidR="00844D7A" w:rsidRPr="00F20F73" w:rsidRDefault="00844D7A" w:rsidP="00844D7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92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7"/>
        <w:gridCol w:w="1435"/>
      </w:tblGrid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Natureza da Dedução de Receita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pt-BR"/>
              </w:rPr>
              <w:t>Exercício Atual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9.1.1.1.0.00.00.00 - (R) DEDUCOES DA RECEITA DE IMPOSTOS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CD4324"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50.106,08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9.1.2.0.0.00.00.00 - (R) DEDUCOES DA RECEITA DE CONTRIBUIÇÕES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9.1.3.2.5.00.00.00 - (R) DEDUCOES DA RECEITA DE REMUNERAÇÃO DE DEPOSITOS BANCARIOS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9.1.3.2.8.00.00.00 - (R) DEDUÇÃO DA REMUNERAÇÃO DOS INVESTIMENTOS DO REGIME PROPRIO DE PREVIDENCIA SOCIAL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CD4324"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51.827,13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9.1.7.2.1.01.02.06 - (R) DEDUÇÃO DA RECEITA PARA FORMAÇÃO DO FUNDEB – FPM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CD4324"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1.482.671,39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9.1.7.2.1.01.05.04 - (R) DEDUÇÃO DA RECEITA PARA FORMAÇÃO DO FUNDEB – ITR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CD4324"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9.061,35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9.1.7.2.1.33.00.00 - (R) DEDUÇÃO DAS TRANSFERÊNCIAS DE RECURSOS DO SUS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9.1.7.2.1.34.00.00 - (R) DEDUÇÃO DAS TRANSFERÊNCIAS DE RECURSOS DO FNAS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9.1.7.2.1.35.00.00 - (R) DEDUÇÃO DAS TRANSFERÊNCIAS DE RECURSOS DO FNDE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9.1.7.2.1.36.00.05 - (R) DEDUÇÃO DA RECEITA PARA FORMACAO DO FUNDEB - ICMS DESONERACAO - LEI COMPLEMENTAR 87/96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CD4324"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5.428,10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9.1.7.2.2.01.01.05  - (R) DEDUÇÃO DA RECEITA PARA FORMACAO DO FUNDEB – ICMS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CD4324"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961.186,52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9.1.7.2.2.01.02.04 - (R) DEDUÇÃO DA RECEITA PARA FORMACAO DO FUNDEB – IPVA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CD4324"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109.442,02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9.1.7.2.2.01.04.05 - (R) DEDUÇÃO DA RECEITA PARA FORMACAO DO FUNDEB - IPI/EXPORTACAO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CD4324"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14.257,98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9.1.7.2.2.33.00.00 - (R) DEDUÇÃO DAS TRANSFERENCIAS DE RECURSOS DO ESTADO PARA PROGRAMAS DE SAUDE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9.1.7.2.4.01.00.00 - (R) DEDUÇÃO DA RECEITA DAS TRANSFERENCIAS DOS RECURSOS DO FUNDEB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9.1.7.6.0.00.00.00 - (R) DEDUÇÕES DAS RECEITAS DE TRANSFERENCIAS DE CONVÊNIOS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9.1.9.1.1.00.00.00  - (R) DEDUÇÃO DAS MULTAS E JUROS DE MORA DOS TRIBUTOS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9.1.9.1.3.00.00.00 - (R) DEDUÇÃO DAS MULTAS E JUROS DE MORA DA DIVIDA ATIVA DOS TRIBUTOS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9.1.9.3.1.00.00.00 - (R)  DEDUÇÃO DA RECEITA DA DIVIDA ATIVA TRIBUTARIA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9.1.9.9.0.99.00.00  - (R) DEDUÇÕES DAS OUTRAS RECEITAS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CD4324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0,00</w:t>
            </w: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9.2.4.7.0.00.00.00 - (R) DEDUÇÃO DAS TRANSFERENCIAS DE CONVENIOS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35" w:type="dxa"/>
            <w:shd w:val="clear" w:color="000000" w:fill="FFFFFF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F20F73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F20F73" w:rsidRDefault="00844D7A" w:rsidP="00844D7A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Total das Deduções da Receita Orçamentária</w:t>
            </w:r>
          </w:p>
        </w:tc>
        <w:tc>
          <w:tcPr>
            <w:tcW w:w="1435" w:type="dxa"/>
            <w:shd w:val="clear" w:color="000000" w:fill="FFFFFF"/>
          </w:tcPr>
          <w:p w:rsidR="00844D7A" w:rsidRPr="00F20F73" w:rsidRDefault="004F74E1" w:rsidP="00844D7A">
            <w:pPr>
              <w:spacing w:after="0"/>
              <w:ind w:firstLine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-</w:t>
            </w:r>
            <w:r w:rsidR="00CD4324" w:rsidRPr="00F20F7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2.683.980,57</w:t>
            </w:r>
          </w:p>
        </w:tc>
      </w:tr>
    </w:tbl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2 - Recursos Vinculados à Educação: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estão representados nessas linhas, os valores relativos às receitas arrecadadas e às despesas empenhadas por conta de recursos que, por determinação constitucional ou legal, devem ser aplicados em ações voltadas à educação.  Calha observar que, de acordo com o disposto na Resolução nº 918/2011, do Tribunal de Contas do Estado e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lastRenderedPageBreak/>
        <w:t>a metodologia de cálculo estabelecida pela Instrução Normativa nº 19/2011, daquela Corte de Contas, os gastos constitucionais do  Município com a Manutenção e Desenvolvimento do Ensino representaram, em 201</w:t>
      </w:r>
      <w:r w:rsidR="00CD4324" w:rsidRPr="00F20F73">
        <w:rPr>
          <w:rFonts w:ascii="Times New Roman" w:eastAsia="Times New Roman" w:hAnsi="Times New Roman"/>
          <w:sz w:val="22"/>
          <w:szCs w:val="22"/>
          <w:lang w:eastAsia="pt-BR"/>
        </w:rPr>
        <w:t>8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,  </w:t>
      </w:r>
      <w:r w:rsidR="00CD4324" w:rsidRPr="00F20F73">
        <w:rPr>
          <w:rFonts w:ascii="Times New Roman" w:eastAsia="Times New Roman" w:hAnsi="Times New Roman"/>
          <w:sz w:val="22"/>
          <w:szCs w:val="22"/>
          <w:lang w:eastAsia="pt-BR"/>
        </w:rPr>
        <w:t>25,49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>% da receita resultante de impostos e  transferências.</w:t>
      </w:r>
    </w:p>
    <w:p w:rsidR="00844D7A" w:rsidRPr="00F20F73" w:rsidRDefault="00844D7A" w:rsidP="00530C6A">
      <w:pPr>
        <w:spacing w:after="0"/>
        <w:ind w:firstLine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3 - Recursos Vinculados à Saúde: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referem-se aos valores relativos das receitas arrecadadas e às despesas empenhadas por conta de recursos que, por determinação constitucional ou legal, devem ser aplicados em ações e serviços públicos de saúde os quais representaram  </w:t>
      </w:r>
      <w:r w:rsidR="00CD4324" w:rsidRPr="00F20F73">
        <w:rPr>
          <w:rFonts w:ascii="Times New Roman" w:eastAsia="Times New Roman" w:hAnsi="Times New Roman"/>
          <w:sz w:val="22"/>
          <w:szCs w:val="22"/>
          <w:lang w:eastAsia="pt-BR"/>
        </w:rPr>
        <w:t>19,03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>% da receita resultante de impostos e  transferências, conforme a metodologia de cálculo do TCE/RS. O detalhamento das fontes de recursos obedece a padronização estabelecida pela Portaria SES/RS nº 882/2012.</w:t>
      </w:r>
    </w:p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3C336F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F20F73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4 -Recursos Destinados à Previdência Social – RPPS: 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os valores informados nessas linhas se referem as receitas arrecadadas e às despesas empenhadas por conta dos recursos que,  nos termos da Lei Municipal nº </w:t>
      </w:r>
      <w:r w:rsidR="0033263B" w:rsidRPr="00F20F73">
        <w:rPr>
          <w:rFonts w:ascii="Times New Roman" w:eastAsia="Times New Roman" w:hAnsi="Times New Roman"/>
          <w:sz w:val="22"/>
          <w:szCs w:val="22"/>
          <w:lang w:eastAsia="pt-BR"/>
        </w:rPr>
        <w:t>1998/2006</w:t>
      </w:r>
      <w:r w:rsidRPr="00F20F73">
        <w:rPr>
          <w:rFonts w:ascii="Times New Roman" w:eastAsia="Times New Roman" w:hAnsi="Times New Roman"/>
          <w:sz w:val="22"/>
          <w:szCs w:val="22"/>
          <w:lang w:eastAsia="pt-BR"/>
        </w:rPr>
        <w:t xml:space="preserve"> são vinculados ao  Regime Próprio de Previdência Social dos Servidores, conforme o seguinte detalhamento.</w:t>
      </w:r>
    </w:p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10142" w:type="dxa"/>
        <w:tblInd w:w="-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041"/>
        <w:gridCol w:w="1191"/>
        <w:gridCol w:w="1191"/>
        <w:gridCol w:w="1190"/>
        <w:gridCol w:w="1403"/>
        <w:gridCol w:w="1098"/>
        <w:gridCol w:w="1134"/>
        <w:gridCol w:w="1134"/>
      </w:tblGrid>
      <w:tr w:rsidR="00CD4324" w:rsidRPr="00F20F73" w:rsidTr="00CD4324">
        <w:trPr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ARRECADAÇÃO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PODER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CONTRIB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SERVIDORES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COMPENSAÇÃO</w:t>
            </w:r>
          </w:p>
        </w:tc>
        <w:tc>
          <w:tcPr>
            <w:tcW w:w="3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PARCELAS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PÚBLICO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P/RECUPER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 xml:space="preserve">PODER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FINANCEIRA</w:t>
            </w:r>
          </w:p>
        </w:tc>
        <w:tc>
          <w:tcPr>
            <w:tcW w:w="336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PASSIVO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PÚBLICO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36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PRINCIPAL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APLIC.FINAN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TOTAL (1)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JAN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75.409,28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161.407,17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236.816,45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59.123,46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10.042,08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305.981,99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65.919,20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371.901,19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FEV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63.696,39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136.336,70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200.033,09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49.940,13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15.778,87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265.752,09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47.864,98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313.617,07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62.955,47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134.750,79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197.706,26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49.359,19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10.615,95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257.681,40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69.743,97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327.425,37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ABR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63.662,79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136.264,78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199.927,57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49.913,84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14.046,19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263.887,60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44.568,81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308.456,41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MAI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64.292,47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137.612,51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201.904,98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50.407,44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14.046,19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266.358,61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10.114,54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276.473,15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JUN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64.109,85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137.221,60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201.331,45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50.264,26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14.046,19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265.641,90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25.083,47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290.725,37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JUL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63.194,07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135.261,48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198.455,55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49.546,27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14.046,19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262.048,01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92.179,01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354.227,02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AGO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62.764,44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134.341,92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197.106,36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49.209,44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14.046,19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260.361,99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24.525,82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284.887,81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63.240,19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135.360,23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198.600,42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49.582,48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13.733,30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261.916,20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59.285,39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321.201,59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61.920,64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132.535,82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194.456,46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48.547,86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13.530,00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256.534,32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123.627,46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380.161,78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NOV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61.912,72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132.518,77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194.431,49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48.541,61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14.046,19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257.019,29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42.639,43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299.658,72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13º SAL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60.385,95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129.250,73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189.636,68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47.344,56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236.981,24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236.981,24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DEZ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64.487,77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138.030,43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202.518,20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50.560,56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28.092,38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281.171,14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68.059,02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349.230,16</w:t>
            </w:r>
          </w:p>
        </w:tc>
      </w:tr>
      <w:tr w:rsidR="00CD4324" w:rsidRPr="00F20F73" w:rsidTr="00CD4324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832.032,03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1.780.892,93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2.612.924,96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652.341,10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176.069,72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3.441.335,78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673.611,10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4.114.946,88</w:t>
            </w:r>
          </w:p>
        </w:tc>
      </w:tr>
    </w:tbl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16"/>
          <w:szCs w:val="16"/>
          <w:lang w:eastAsia="pt-BR"/>
        </w:rPr>
      </w:pPr>
    </w:p>
    <w:p w:rsidR="003C336F" w:rsidRPr="00F20F73" w:rsidRDefault="003C336F" w:rsidP="00844D7A">
      <w:pPr>
        <w:spacing w:after="0"/>
        <w:rPr>
          <w:rFonts w:ascii="Times New Roman" w:eastAsia="Times New Roman" w:hAnsi="Times New Roman"/>
          <w:sz w:val="16"/>
          <w:szCs w:val="16"/>
          <w:lang w:eastAsia="pt-BR"/>
        </w:rPr>
      </w:pPr>
    </w:p>
    <w:p w:rsidR="003C336F" w:rsidRPr="00F20F73" w:rsidRDefault="003C336F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5386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163"/>
        <w:gridCol w:w="1076"/>
        <w:gridCol w:w="1475"/>
      </w:tblGrid>
      <w:tr w:rsidR="00CD4324" w:rsidRPr="00F20F73" w:rsidTr="00CD4324">
        <w:trPr>
          <w:trHeight w:val="255"/>
        </w:trPr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DESPESAS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DESPESAS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DEMAIS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TOTAL (2)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SALDO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COM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BENEFÍCIOS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DESPESAS</w:t>
            </w: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(1-2)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 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279.878,97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9,04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279.888,01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92.013,18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268.157,27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1.440,00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269.597,27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44.019,80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271.747,81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5.093,73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276.841,54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50.583,83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277.421,76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967,50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278.389,26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30.067,15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275.337,46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950,00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276.287,46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185,69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292.120,11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950,00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293.070,11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-2.344,74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294.609,91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2.068,75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296.678,66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57.548,36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260.255,17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490,00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260.745,17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24.142,64</w:t>
            </w:r>
          </w:p>
        </w:tc>
        <w:bookmarkStart w:id="1" w:name="_GoBack"/>
        <w:bookmarkEnd w:id="1"/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258.897,06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4.750,00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263.647,06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57.554,53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259.382,97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6.450,00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265.832,97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114.328,81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240.525,72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1.445,00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241.970,72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57.688,00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109.677,10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109.677,10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127.304,14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279.120,89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460,00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279.580,89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69.649,27</w:t>
            </w:r>
          </w:p>
        </w:tc>
      </w:tr>
      <w:tr w:rsidR="00CD4324" w:rsidRPr="00F20F73" w:rsidTr="00CD4324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3.367.132,20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25.074,02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3.392.206,22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324" w:rsidRPr="00F20F73" w:rsidRDefault="00CD4324" w:rsidP="00CD4324">
            <w:pPr>
              <w:spacing w:after="0"/>
              <w:ind w:firstLine="0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</w:pPr>
            <w:r w:rsidRPr="00F20F7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t-BR"/>
              </w:rPr>
              <w:t>722.740,66</w:t>
            </w:r>
          </w:p>
        </w:tc>
      </w:tr>
    </w:tbl>
    <w:p w:rsidR="003C336F" w:rsidRPr="00F20F73" w:rsidRDefault="003C336F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4672E7">
      <w:pPr>
        <w:spacing w:after="0"/>
        <w:ind w:firstLine="0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844D7A" w:rsidRPr="00F20F73" w:rsidRDefault="00844D7A" w:rsidP="00844D7A">
      <w:pPr>
        <w:spacing w:after="0"/>
        <w:rPr>
          <w:rFonts w:ascii="Times New Roman" w:eastAsia="Times New Roman" w:hAnsi="Times New Roman"/>
          <w:sz w:val="22"/>
          <w:szCs w:val="22"/>
          <w:lang w:eastAsia="pt-BR"/>
        </w:rPr>
      </w:pPr>
    </w:p>
    <w:sectPr w:rsidR="00844D7A" w:rsidRPr="00F20F73">
      <w:pgSz w:w="11907" w:h="16840" w:code="9"/>
      <w:pgMar w:top="851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C5D"/>
    <w:rsid w:val="0033263B"/>
    <w:rsid w:val="003C336F"/>
    <w:rsid w:val="00411653"/>
    <w:rsid w:val="00455810"/>
    <w:rsid w:val="0045612A"/>
    <w:rsid w:val="004672E7"/>
    <w:rsid w:val="004F74E1"/>
    <w:rsid w:val="00530C6A"/>
    <w:rsid w:val="006828F8"/>
    <w:rsid w:val="006E6E4D"/>
    <w:rsid w:val="00784329"/>
    <w:rsid w:val="007E0516"/>
    <w:rsid w:val="00844D7A"/>
    <w:rsid w:val="008C1782"/>
    <w:rsid w:val="009E54DF"/>
    <w:rsid w:val="00AE4C5D"/>
    <w:rsid w:val="00CC3083"/>
    <w:rsid w:val="00CD4324"/>
    <w:rsid w:val="00DD0E2C"/>
    <w:rsid w:val="00DE5BB0"/>
    <w:rsid w:val="00F20F73"/>
    <w:rsid w:val="00F8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E4E8B-A8A1-41DE-968D-7385C13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D7A"/>
    <w:pPr>
      <w:spacing w:after="160"/>
      <w:ind w:firstLine="567"/>
      <w:jc w:val="both"/>
    </w:pPr>
    <w:rPr>
      <w:rFonts w:ascii="Calibri" w:eastAsia="Calibri" w:hAnsi="Calibri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844D7A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844D7A"/>
    <w:rPr>
      <w:rFonts w:ascii="Calibri" w:hAnsi="Calibri"/>
      <w:b/>
      <w:sz w:val="24"/>
      <w:szCs w:val="24"/>
      <w:lang w:val="pt-BR" w:eastAsia="en-US" w:bidi="ar-SA"/>
    </w:rPr>
  </w:style>
  <w:style w:type="paragraph" w:styleId="Corpodetexto">
    <w:name w:val="Body Text"/>
    <w:aliases w:val="Quote"/>
    <w:basedOn w:val="Normal"/>
    <w:link w:val="CorpodetextoChar"/>
    <w:unhideWhenUsed/>
    <w:rsid w:val="00844D7A"/>
    <w:pPr>
      <w:spacing w:after="120" w:line="276" w:lineRule="auto"/>
    </w:pPr>
    <w:rPr>
      <w:sz w:val="22"/>
      <w:szCs w:val="22"/>
    </w:rPr>
  </w:style>
  <w:style w:type="character" w:customStyle="1" w:styleId="CorpodetextoChar">
    <w:name w:val="Corpo de texto Char"/>
    <w:aliases w:val="Quote Char"/>
    <w:link w:val="Corpodetexto"/>
    <w:rsid w:val="00844D7A"/>
    <w:rPr>
      <w:rFonts w:ascii="Calibri" w:eastAsia="Calibri" w:hAnsi="Calibri"/>
      <w:sz w:val="22"/>
      <w:szCs w:val="2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913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INTERNACIONAL  VS    FIGUEIRENSE</vt:lpstr>
    </vt:vector>
  </TitlesOfParts>
  <Company>Default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INTERNACIONAL  VS    FIGUEIRENSE</dc:title>
  <dc:subject/>
  <dc:creator>Default</dc:creator>
  <cp:keywords/>
  <cp:lastModifiedBy>Prefeitura</cp:lastModifiedBy>
  <cp:revision>15</cp:revision>
  <dcterms:created xsi:type="dcterms:W3CDTF">2018-01-26T12:41:00Z</dcterms:created>
  <dcterms:modified xsi:type="dcterms:W3CDTF">2019-01-30T18:42:00Z</dcterms:modified>
</cp:coreProperties>
</file>