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51" w:rsidRPr="00871F10" w:rsidRDefault="00782251" w:rsidP="00782251">
      <w:pPr>
        <w:spacing w:after="120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871F10"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Município de </w:t>
      </w:r>
      <w:proofErr w:type="spellStart"/>
      <w:r w:rsidR="004677CA" w:rsidRPr="00871F10">
        <w:rPr>
          <w:rFonts w:ascii="Times New Roman" w:eastAsia="Times New Roman" w:hAnsi="Times New Roman"/>
          <w:b/>
          <w:sz w:val="20"/>
          <w:szCs w:val="20"/>
          <w:lang w:eastAsia="pt-BR"/>
        </w:rPr>
        <w:t>Caibaté</w:t>
      </w:r>
      <w:proofErr w:type="spellEnd"/>
      <w:r w:rsidR="004677CA" w:rsidRPr="00871F10">
        <w:rPr>
          <w:rFonts w:ascii="Times New Roman" w:eastAsia="Times New Roman" w:hAnsi="Times New Roman"/>
          <w:b/>
          <w:sz w:val="20"/>
          <w:szCs w:val="20"/>
          <w:lang w:eastAsia="pt-BR"/>
        </w:rPr>
        <w:t>- RS</w:t>
      </w:r>
    </w:p>
    <w:p w:rsidR="00782251" w:rsidRPr="00871F10" w:rsidRDefault="00782251" w:rsidP="00782251">
      <w:pPr>
        <w:spacing w:after="120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871F10">
        <w:rPr>
          <w:rFonts w:ascii="Times New Roman" w:eastAsia="Times New Roman" w:hAnsi="Times New Roman"/>
          <w:b/>
          <w:sz w:val="20"/>
          <w:szCs w:val="20"/>
          <w:lang w:eastAsia="pt-BR"/>
        </w:rPr>
        <w:t>Balanço Orçamentário</w:t>
      </w:r>
      <w:r w:rsidR="00D67480" w:rsidRPr="00871F10"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 Consolidado</w:t>
      </w:r>
    </w:p>
    <w:p w:rsidR="00782251" w:rsidRPr="00871F10" w:rsidRDefault="00782251" w:rsidP="00782251">
      <w:pPr>
        <w:spacing w:after="120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871F10">
        <w:rPr>
          <w:rFonts w:ascii="Times New Roman" w:eastAsia="Times New Roman" w:hAnsi="Times New Roman"/>
          <w:b/>
          <w:sz w:val="20"/>
          <w:szCs w:val="20"/>
          <w:lang w:eastAsia="pt-BR"/>
        </w:rPr>
        <w:t>Orçamento Fiscal e da Seguridade Social</w:t>
      </w:r>
    </w:p>
    <w:p w:rsidR="00782251" w:rsidRPr="00871F10" w:rsidRDefault="00782251" w:rsidP="00871F10">
      <w:pPr>
        <w:spacing w:after="120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871F10">
        <w:rPr>
          <w:rFonts w:ascii="Times New Roman" w:eastAsia="Times New Roman" w:hAnsi="Times New Roman"/>
          <w:b/>
          <w:sz w:val="20"/>
          <w:szCs w:val="20"/>
          <w:lang w:eastAsia="pt-BR"/>
        </w:rPr>
        <w:t>Exercício de:</w:t>
      </w:r>
      <w:r w:rsidR="00590D75" w:rsidRPr="00871F10">
        <w:rPr>
          <w:rFonts w:ascii="Times New Roman" w:eastAsia="Times New Roman" w:hAnsi="Times New Roman"/>
          <w:b/>
          <w:sz w:val="20"/>
          <w:szCs w:val="20"/>
          <w:lang w:eastAsia="pt-BR"/>
        </w:rPr>
        <w:t>201</w:t>
      </w:r>
      <w:r w:rsidR="00E063AD">
        <w:rPr>
          <w:rFonts w:ascii="Times New Roman" w:eastAsia="Times New Roman" w:hAnsi="Times New Roman"/>
          <w:b/>
          <w:sz w:val="20"/>
          <w:szCs w:val="20"/>
          <w:lang w:eastAsia="pt-BR"/>
        </w:rPr>
        <w:t>9</w:t>
      </w:r>
    </w:p>
    <w:p w:rsidR="00871F10" w:rsidRPr="00871F10" w:rsidRDefault="00871F10" w:rsidP="00871F10">
      <w:pPr>
        <w:spacing w:after="120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</w:p>
    <w:p w:rsidR="00DB637D" w:rsidRPr="00423886" w:rsidRDefault="00782251" w:rsidP="00423886">
      <w:pPr>
        <w:pStyle w:val="Subttulo"/>
        <w:spacing w:after="120"/>
        <w:jc w:val="center"/>
        <w:rPr>
          <w:rFonts w:ascii="Times New Roman" w:hAnsi="Times New Roman"/>
          <w:sz w:val="22"/>
          <w:szCs w:val="22"/>
          <w:lang w:eastAsia="pt-BR"/>
        </w:rPr>
      </w:pPr>
      <w:bookmarkStart w:id="0" w:name="_Toc497473717"/>
      <w:r w:rsidRPr="00871F10">
        <w:rPr>
          <w:rFonts w:ascii="Times New Roman" w:hAnsi="Times New Roman"/>
          <w:sz w:val="22"/>
          <w:szCs w:val="22"/>
          <w:lang w:eastAsia="pt-BR"/>
        </w:rPr>
        <w:t>Notas Explicativas do Balanço Orçamentári</w:t>
      </w:r>
      <w:bookmarkEnd w:id="0"/>
      <w:r w:rsidR="00423886">
        <w:rPr>
          <w:rFonts w:ascii="Times New Roman" w:hAnsi="Times New Roman"/>
          <w:sz w:val="22"/>
          <w:szCs w:val="22"/>
          <w:lang w:eastAsia="pt-BR"/>
        </w:rPr>
        <w:t>o</w:t>
      </w:r>
    </w:p>
    <w:p w:rsidR="00782251" w:rsidRPr="00871F10" w:rsidRDefault="00782251" w:rsidP="00782251">
      <w:pPr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782251" w:rsidRPr="00871F10" w:rsidRDefault="00782251" w:rsidP="00782251">
      <w:pPr>
        <w:rPr>
          <w:rFonts w:ascii="Times New Roman" w:eastAsia="Times New Roman" w:hAnsi="Times New Roman"/>
          <w:sz w:val="22"/>
          <w:szCs w:val="22"/>
          <w:lang w:eastAsia="pt-BR"/>
        </w:rPr>
      </w:pPr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Nota 1 - Contexto operacional:  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 xml:space="preserve">os dados apresentados compreendem os órgãos da </w:t>
      </w:r>
      <w:r w:rsidRPr="00871F10">
        <w:rPr>
          <w:rFonts w:ascii="Times New Roman" w:eastAsia="Times New Roman" w:hAnsi="Times New Roman"/>
          <w:spacing w:val="7"/>
          <w:sz w:val="22"/>
          <w:szCs w:val="22"/>
          <w:lang w:eastAsia="pt-BR"/>
        </w:rPr>
        <w:t xml:space="preserve">Administração Direta e Indireta do Município, no que tange à previsão e execução das receitas e despesas orçamentárias, cujo detalhamento atende as especificações da Portaria Interministerial STN/SOF </w:t>
      </w:r>
      <w:proofErr w:type="gramStart"/>
      <w:r w:rsidRPr="00871F10">
        <w:rPr>
          <w:rFonts w:ascii="Times New Roman" w:eastAsia="Times New Roman" w:hAnsi="Times New Roman"/>
          <w:spacing w:val="7"/>
          <w:sz w:val="22"/>
          <w:szCs w:val="22"/>
          <w:lang w:eastAsia="pt-BR"/>
        </w:rPr>
        <w:t>n.º</w:t>
      </w:r>
      <w:proofErr w:type="gramEnd"/>
      <w:r w:rsidRPr="00871F10">
        <w:rPr>
          <w:rFonts w:ascii="Times New Roman" w:eastAsia="Times New Roman" w:hAnsi="Times New Roman"/>
          <w:spacing w:val="7"/>
          <w:sz w:val="22"/>
          <w:szCs w:val="22"/>
          <w:lang w:eastAsia="pt-BR"/>
        </w:rPr>
        <w:t xml:space="preserve"> 163/2001 e 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>respectivas alterações.  Foram também observados os detalhamentos estabelecidos pelo Tribunal de Contas do Estado.</w:t>
      </w:r>
    </w:p>
    <w:p w:rsidR="00782251" w:rsidRPr="00871F10" w:rsidRDefault="00782251" w:rsidP="00782251">
      <w:pPr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782251" w:rsidRPr="00871F10" w:rsidRDefault="00782251" w:rsidP="00782251">
      <w:pPr>
        <w:rPr>
          <w:rFonts w:ascii="Times New Roman" w:eastAsia="Times New Roman" w:hAnsi="Times New Roman"/>
          <w:sz w:val="22"/>
          <w:szCs w:val="22"/>
          <w:lang w:eastAsia="pt-BR"/>
        </w:rPr>
      </w:pPr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Nota 2 - Critério de apropriação: 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 xml:space="preserve">considerou como realizadas as despesas legalmente empenhadas e as receitas efetivamente arrecadadas no exercício, nos termos do art. 35 da Lei Federal nº 4.320/64. </w:t>
      </w:r>
    </w:p>
    <w:p w:rsidR="00782251" w:rsidRPr="00871F10" w:rsidRDefault="00782251" w:rsidP="00782251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782251" w:rsidRPr="00871F10" w:rsidRDefault="00782251" w:rsidP="00782251">
      <w:pPr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Nota 3 - Operações </w:t>
      </w:r>
      <w:proofErr w:type="spellStart"/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>Intraorçamentárias</w:t>
      </w:r>
      <w:proofErr w:type="spellEnd"/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>: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 xml:space="preserve"> de acordo com o Manual de Contabilidade Aplicada ao Setor Público, as operações </w:t>
      </w:r>
      <w:r w:rsidRPr="00871F10">
        <w:rPr>
          <w:rFonts w:ascii="Times New Roman" w:eastAsia="Times New Roman" w:hAnsi="Times New Roman"/>
          <w:sz w:val="22"/>
          <w:szCs w:val="22"/>
        </w:rPr>
        <w:t xml:space="preserve">realizadas entre órgãos e demais entidades do próprio Município representam operações </w:t>
      </w:r>
      <w:proofErr w:type="spellStart"/>
      <w:r w:rsidRPr="00871F10">
        <w:rPr>
          <w:rFonts w:ascii="Times New Roman" w:eastAsia="Times New Roman" w:hAnsi="Times New Roman"/>
          <w:sz w:val="22"/>
          <w:szCs w:val="22"/>
        </w:rPr>
        <w:t>intraorçamentárias</w:t>
      </w:r>
      <w:proofErr w:type="spellEnd"/>
      <w:r w:rsidRPr="00871F10">
        <w:rPr>
          <w:rFonts w:ascii="Times New Roman" w:eastAsia="Times New Roman" w:hAnsi="Times New Roman"/>
          <w:sz w:val="22"/>
          <w:szCs w:val="22"/>
        </w:rPr>
        <w:t>. O quadro a seguir demonstra, resumidamente, sua execução durante o exercício financeiro:</w:t>
      </w:r>
    </w:p>
    <w:p w:rsidR="00782251" w:rsidRPr="00871F10" w:rsidRDefault="00782251" w:rsidP="00782251">
      <w:pPr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1701"/>
        <w:gridCol w:w="1276"/>
        <w:gridCol w:w="1275"/>
        <w:gridCol w:w="1276"/>
      </w:tblGrid>
      <w:tr w:rsidR="00782251" w:rsidRPr="00871F10" w:rsidTr="00B0231C">
        <w:tc>
          <w:tcPr>
            <w:tcW w:w="3119" w:type="dxa"/>
            <w:gridSpan w:val="2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Receitas</w:t>
            </w:r>
          </w:p>
        </w:tc>
        <w:tc>
          <w:tcPr>
            <w:tcW w:w="5528" w:type="dxa"/>
            <w:gridSpan w:val="4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Despesas</w:t>
            </w:r>
          </w:p>
        </w:tc>
      </w:tr>
      <w:tr w:rsidR="00782251" w:rsidRPr="00871F10" w:rsidTr="00B0231C">
        <w:tc>
          <w:tcPr>
            <w:tcW w:w="1843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Natureza da Receita</w:t>
            </w:r>
          </w:p>
        </w:tc>
        <w:tc>
          <w:tcPr>
            <w:tcW w:w="1276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Valor arrecadado</w:t>
            </w:r>
          </w:p>
        </w:tc>
        <w:tc>
          <w:tcPr>
            <w:tcW w:w="1701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Natureza da Despesa</w:t>
            </w:r>
          </w:p>
        </w:tc>
        <w:tc>
          <w:tcPr>
            <w:tcW w:w="1276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Empenhado</w:t>
            </w:r>
          </w:p>
        </w:tc>
        <w:tc>
          <w:tcPr>
            <w:tcW w:w="1275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Liquidado</w:t>
            </w:r>
          </w:p>
        </w:tc>
        <w:tc>
          <w:tcPr>
            <w:tcW w:w="1276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Pago</w:t>
            </w:r>
          </w:p>
        </w:tc>
      </w:tr>
      <w:tr w:rsidR="00D67480" w:rsidRPr="00871F10" w:rsidTr="00B0231C">
        <w:tc>
          <w:tcPr>
            <w:tcW w:w="1843" w:type="dxa"/>
          </w:tcPr>
          <w:p w:rsidR="00D67480" w:rsidRPr="00871F10" w:rsidRDefault="00D67480" w:rsidP="00D674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7.0.0.0.00.00 – Receitas Correntes </w:t>
            </w:r>
            <w:proofErr w:type="spellStart"/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Intraorçamentárias</w:t>
            </w:r>
            <w:proofErr w:type="spellEnd"/>
          </w:p>
        </w:tc>
        <w:tc>
          <w:tcPr>
            <w:tcW w:w="1276" w:type="dxa"/>
          </w:tcPr>
          <w:p w:rsidR="00D67480" w:rsidRPr="00871F10" w:rsidRDefault="00D3172F" w:rsidP="00D674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4.805.700,13</w:t>
            </w:r>
          </w:p>
        </w:tc>
        <w:tc>
          <w:tcPr>
            <w:tcW w:w="1701" w:type="dxa"/>
          </w:tcPr>
          <w:p w:rsidR="00D67480" w:rsidRPr="00871F10" w:rsidRDefault="00D67480" w:rsidP="00D674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3.0.91.00.00 – Despesas Correntes </w:t>
            </w:r>
            <w:proofErr w:type="spellStart"/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Intraorçamentárias</w:t>
            </w:r>
            <w:proofErr w:type="spellEnd"/>
          </w:p>
        </w:tc>
        <w:tc>
          <w:tcPr>
            <w:tcW w:w="1276" w:type="dxa"/>
          </w:tcPr>
          <w:p w:rsidR="00D67480" w:rsidRPr="00871F10" w:rsidRDefault="00D3172F" w:rsidP="00D674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3.718.613,49</w:t>
            </w:r>
          </w:p>
        </w:tc>
        <w:tc>
          <w:tcPr>
            <w:tcW w:w="1275" w:type="dxa"/>
          </w:tcPr>
          <w:p w:rsidR="00D67480" w:rsidRPr="00871F10" w:rsidRDefault="00D3172F" w:rsidP="00D674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3.713.544,49</w:t>
            </w:r>
          </w:p>
        </w:tc>
        <w:tc>
          <w:tcPr>
            <w:tcW w:w="1276" w:type="dxa"/>
          </w:tcPr>
          <w:p w:rsidR="00D67480" w:rsidRPr="00871F10" w:rsidRDefault="00D3172F" w:rsidP="00D674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3.711.227,31</w:t>
            </w:r>
          </w:p>
        </w:tc>
      </w:tr>
      <w:tr w:rsidR="00782251" w:rsidRPr="00871F10" w:rsidTr="00B0231C">
        <w:tc>
          <w:tcPr>
            <w:tcW w:w="1843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8.0.0.0.00.00 – Receitas de Capital </w:t>
            </w:r>
            <w:proofErr w:type="spellStart"/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Intraorçamentárias</w:t>
            </w:r>
            <w:proofErr w:type="spellEnd"/>
          </w:p>
        </w:tc>
        <w:tc>
          <w:tcPr>
            <w:tcW w:w="1276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4.0.91.00.00 – Despesas de Capital </w:t>
            </w:r>
            <w:proofErr w:type="spellStart"/>
            <w:r w:rsidRPr="00871F10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Intraorçamentárias</w:t>
            </w:r>
            <w:proofErr w:type="spellEnd"/>
          </w:p>
        </w:tc>
        <w:tc>
          <w:tcPr>
            <w:tcW w:w="1276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</w:tcPr>
          <w:p w:rsidR="00782251" w:rsidRPr="00871F10" w:rsidRDefault="00782251" w:rsidP="007822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D3172F" w:rsidRPr="00871F10" w:rsidTr="00B0231C">
        <w:tc>
          <w:tcPr>
            <w:tcW w:w="1843" w:type="dxa"/>
          </w:tcPr>
          <w:p w:rsidR="00D3172F" w:rsidRPr="00871F10" w:rsidRDefault="00D3172F" w:rsidP="00D317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276" w:type="dxa"/>
          </w:tcPr>
          <w:p w:rsidR="00D3172F" w:rsidRPr="00871F10" w:rsidRDefault="00D3172F" w:rsidP="00D317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4.805.700,13</w:t>
            </w:r>
          </w:p>
        </w:tc>
        <w:tc>
          <w:tcPr>
            <w:tcW w:w="1701" w:type="dxa"/>
          </w:tcPr>
          <w:p w:rsidR="00D3172F" w:rsidRPr="00871F10" w:rsidRDefault="00D3172F" w:rsidP="00D317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276" w:type="dxa"/>
          </w:tcPr>
          <w:p w:rsidR="00D3172F" w:rsidRPr="00871F10" w:rsidRDefault="00D3172F" w:rsidP="00D317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3.718.613,49</w:t>
            </w:r>
          </w:p>
        </w:tc>
        <w:tc>
          <w:tcPr>
            <w:tcW w:w="1275" w:type="dxa"/>
          </w:tcPr>
          <w:p w:rsidR="00D3172F" w:rsidRPr="00871F10" w:rsidRDefault="00D3172F" w:rsidP="00D317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3.713.544,49</w:t>
            </w:r>
          </w:p>
        </w:tc>
        <w:tc>
          <w:tcPr>
            <w:tcW w:w="1276" w:type="dxa"/>
          </w:tcPr>
          <w:p w:rsidR="00D3172F" w:rsidRPr="00871F10" w:rsidRDefault="00D3172F" w:rsidP="00D317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3.711.227,31</w:t>
            </w:r>
          </w:p>
        </w:tc>
      </w:tr>
    </w:tbl>
    <w:p w:rsidR="00782251" w:rsidRPr="00871F10" w:rsidRDefault="00782251" w:rsidP="00782251">
      <w:pPr>
        <w:autoSpaceDE w:val="0"/>
        <w:autoSpaceDN w:val="0"/>
        <w:adjustRightInd w:val="0"/>
        <w:rPr>
          <w:rFonts w:ascii="Times New Roman" w:eastAsia="Times New Roman" w:hAnsi="Times New Roman"/>
          <w:sz w:val="18"/>
          <w:szCs w:val="18"/>
          <w:lang w:eastAsia="pt-BR"/>
        </w:rPr>
      </w:pPr>
    </w:p>
    <w:p w:rsidR="00782251" w:rsidRPr="00871F10" w:rsidRDefault="00782251" w:rsidP="00E51348">
      <w:pPr>
        <w:rPr>
          <w:rFonts w:ascii="Times New Roman" w:eastAsia="Times New Roman" w:hAnsi="Times New Roman"/>
          <w:sz w:val="22"/>
          <w:szCs w:val="22"/>
          <w:lang w:eastAsia="pt-BR"/>
        </w:rPr>
      </w:pPr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Nota 4 - Deduções da Receita Orçamentária: 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 xml:space="preserve">o valor informado na </w:t>
      </w:r>
      <w:proofErr w:type="gramStart"/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>coluna  “</w:t>
      </w:r>
      <w:proofErr w:type="gramEnd"/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 xml:space="preserve">Receitas Realizadas” apresenta a arrecadação líquida, ou seja, já consideradas as deduções da receita que, no exercício totalizaram  R$  </w:t>
      </w:r>
      <w:r w:rsidR="00E51348" w:rsidRPr="00871F10">
        <w:rPr>
          <w:rFonts w:ascii="Times New Roman" w:eastAsia="Times New Roman" w:hAnsi="Times New Roman"/>
          <w:sz w:val="22"/>
          <w:szCs w:val="22"/>
          <w:lang w:eastAsia="pt-BR"/>
        </w:rPr>
        <w:t>2.</w:t>
      </w:r>
      <w:r w:rsidR="009A09CA">
        <w:rPr>
          <w:rFonts w:ascii="Times New Roman" w:eastAsia="Times New Roman" w:hAnsi="Times New Roman"/>
          <w:sz w:val="22"/>
          <w:szCs w:val="22"/>
          <w:lang w:eastAsia="pt-BR"/>
        </w:rPr>
        <w:t>715.392,35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 xml:space="preserve">  </w:t>
      </w:r>
    </w:p>
    <w:p w:rsidR="00E51348" w:rsidRPr="00871F10" w:rsidRDefault="00E51348" w:rsidP="00E51348">
      <w:pPr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782251" w:rsidRPr="00871F10" w:rsidRDefault="00782251" w:rsidP="00782251">
      <w:pPr>
        <w:rPr>
          <w:rFonts w:ascii="Times New Roman" w:eastAsia="Times New Roman" w:hAnsi="Times New Roman"/>
          <w:sz w:val="22"/>
          <w:szCs w:val="22"/>
          <w:lang w:eastAsia="pt-BR"/>
        </w:rPr>
      </w:pPr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Nota 5 - Repasses Concedidos: 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>de acordo com o Portaria STN nº 339/2001, os repasses financeiros pelo Poder Executivo  ao Poder Legislativo, ao Regime Próprio de Previdência Social e aos órgãos da Administração Indireta, foram processados por meio de documentos próprios, sem a emissão de empenho, sendo que os registros contábeis das transferências financeiras concedidas e recebidas foram efetuados em contas contábeis específicas de resultado, que representem as variações passivas e ativas financeiras correspondentes, conforme o seguinte resumo:</w:t>
      </w:r>
    </w:p>
    <w:p w:rsidR="00782251" w:rsidRPr="00871F10" w:rsidRDefault="00782251" w:rsidP="00782251">
      <w:pPr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30"/>
        <w:gridCol w:w="1842"/>
      </w:tblGrid>
      <w:tr w:rsidR="00782251" w:rsidRPr="00871F10">
        <w:tc>
          <w:tcPr>
            <w:tcW w:w="7230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Repasses concedidos ao Poder Legislativo</w:t>
            </w:r>
          </w:p>
        </w:tc>
        <w:tc>
          <w:tcPr>
            <w:tcW w:w="1842" w:type="dxa"/>
          </w:tcPr>
          <w:p w:rsidR="00782251" w:rsidRPr="00871F10" w:rsidRDefault="00782251" w:rsidP="00BF70A0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R$</w:t>
            </w:r>
            <w:r w:rsidR="0024525E"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  <w:r w:rsidR="00BF70A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885.251,91</w:t>
            </w:r>
          </w:p>
        </w:tc>
      </w:tr>
      <w:tr w:rsidR="00782251" w:rsidRPr="00871F10">
        <w:tc>
          <w:tcPr>
            <w:tcW w:w="7230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Repasses concedidos ao RPPS</w:t>
            </w:r>
          </w:p>
        </w:tc>
        <w:tc>
          <w:tcPr>
            <w:tcW w:w="1842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R$</w:t>
            </w:r>
          </w:p>
        </w:tc>
      </w:tr>
      <w:tr w:rsidR="00782251" w:rsidRPr="00871F10">
        <w:tc>
          <w:tcPr>
            <w:tcW w:w="7230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Repasses concedidos aos órgãos da Administração Indireta</w:t>
            </w:r>
          </w:p>
        </w:tc>
        <w:tc>
          <w:tcPr>
            <w:tcW w:w="1842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R$</w:t>
            </w:r>
          </w:p>
        </w:tc>
      </w:tr>
      <w:tr w:rsidR="00782251" w:rsidRPr="00871F10">
        <w:tc>
          <w:tcPr>
            <w:tcW w:w="7230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[...]</w:t>
            </w:r>
          </w:p>
        </w:tc>
        <w:tc>
          <w:tcPr>
            <w:tcW w:w="1842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R$</w:t>
            </w:r>
          </w:p>
        </w:tc>
      </w:tr>
      <w:tr w:rsidR="00782251" w:rsidRPr="00871F10">
        <w:tc>
          <w:tcPr>
            <w:tcW w:w="7230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Total dos repasses concedidos</w:t>
            </w:r>
          </w:p>
        </w:tc>
        <w:tc>
          <w:tcPr>
            <w:tcW w:w="1842" w:type="dxa"/>
          </w:tcPr>
          <w:p w:rsidR="00782251" w:rsidRPr="00871F10" w:rsidRDefault="00782251" w:rsidP="00782251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871F10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R$</w:t>
            </w:r>
            <w:r w:rsidR="0091646E" w:rsidRPr="00871F10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 xml:space="preserve"> </w:t>
            </w:r>
            <w:r w:rsidR="00BF70A0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885.251,91</w:t>
            </w:r>
          </w:p>
        </w:tc>
      </w:tr>
    </w:tbl>
    <w:p w:rsidR="00782251" w:rsidRPr="00871F10" w:rsidRDefault="00782251" w:rsidP="00782251">
      <w:pPr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782251" w:rsidRPr="00871F10" w:rsidRDefault="00782251" w:rsidP="00782251">
      <w:pPr>
        <w:tabs>
          <w:tab w:val="left" w:pos="1110"/>
        </w:tabs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782251" w:rsidRPr="00871F10" w:rsidRDefault="00782251" w:rsidP="00782251">
      <w:pPr>
        <w:autoSpaceDE w:val="0"/>
        <w:autoSpaceDN w:val="0"/>
        <w:adjustRightInd w:val="0"/>
        <w:rPr>
          <w:rFonts w:ascii="Times New Roman" w:eastAsia="Times New Roman" w:hAnsi="Times New Roman"/>
          <w:sz w:val="22"/>
          <w:szCs w:val="22"/>
          <w:lang w:eastAsia="pt-BR"/>
        </w:rPr>
      </w:pPr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Nota </w:t>
      </w:r>
      <w:r w:rsidR="00BF4BB0"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>6</w:t>
      </w:r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– Créditos Adicionais Reabertos:  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>de acordo com o disposto no art. 167, § 2º, da Constituição da República, em 20</w:t>
      </w:r>
      <w:r w:rsidR="002C7B32" w:rsidRPr="00871F10">
        <w:rPr>
          <w:rFonts w:ascii="Times New Roman" w:eastAsia="Times New Roman" w:hAnsi="Times New Roman"/>
          <w:sz w:val="22"/>
          <w:szCs w:val="22"/>
          <w:lang w:eastAsia="pt-BR"/>
        </w:rPr>
        <w:t>1</w:t>
      </w:r>
      <w:r w:rsidR="00A87E17">
        <w:rPr>
          <w:rFonts w:ascii="Times New Roman" w:eastAsia="Times New Roman" w:hAnsi="Times New Roman"/>
          <w:sz w:val="22"/>
          <w:szCs w:val="22"/>
          <w:lang w:eastAsia="pt-BR"/>
        </w:rPr>
        <w:t>9</w:t>
      </w:r>
      <w:r w:rsidR="00BF4BB0" w:rsidRPr="00871F10">
        <w:rPr>
          <w:rFonts w:ascii="Times New Roman" w:eastAsia="Times New Roman" w:hAnsi="Times New Roman"/>
          <w:sz w:val="22"/>
          <w:szCs w:val="22"/>
          <w:lang w:eastAsia="pt-BR"/>
        </w:rPr>
        <w:t xml:space="preserve"> </w:t>
      </w:r>
      <w:r w:rsidR="00A87E17">
        <w:rPr>
          <w:rFonts w:ascii="Times New Roman" w:eastAsia="Times New Roman" w:hAnsi="Times New Roman"/>
          <w:sz w:val="22"/>
          <w:szCs w:val="22"/>
          <w:lang w:eastAsia="pt-BR"/>
        </w:rPr>
        <w:t xml:space="preserve">não 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 xml:space="preserve">houve a </w:t>
      </w:r>
      <w:r w:rsidRPr="00871F10">
        <w:rPr>
          <w:rFonts w:ascii="Times New Roman" w:hAnsi="Times New Roman"/>
          <w:sz w:val="22"/>
          <w:szCs w:val="22"/>
          <w:lang w:val="pt-PT" w:eastAsia="pt-PT"/>
        </w:rPr>
        <w:t>reabertura de créditos especiais que tiveram o ato de autorização promulgado nos últimos quatro meses de 20</w:t>
      </w:r>
      <w:r w:rsidR="002C7B32" w:rsidRPr="00871F10">
        <w:rPr>
          <w:rFonts w:ascii="Times New Roman" w:hAnsi="Times New Roman"/>
          <w:sz w:val="22"/>
          <w:szCs w:val="22"/>
          <w:lang w:val="pt-PT" w:eastAsia="pt-PT"/>
        </w:rPr>
        <w:t>1</w:t>
      </w:r>
      <w:r w:rsidR="00A87E17">
        <w:rPr>
          <w:rFonts w:ascii="Times New Roman" w:hAnsi="Times New Roman"/>
          <w:sz w:val="22"/>
          <w:szCs w:val="22"/>
          <w:lang w:val="pt-PT" w:eastAsia="pt-PT"/>
        </w:rPr>
        <w:t>8</w:t>
      </w:r>
      <w:r w:rsidRPr="00871F10">
        <w:rPr>
          <w:rFonts w:ascii="Times New Roman" w:hAnsi="Times New Roman"/>
          <w:sz w:val="22"/>
          <w:szCs w:val="22"/>
          <w:lang w:val="pt-PT" w:eastAsia="pt-PT"/>
        </w:rPr>
        <w:t xml:space="preserve">. </w:t>
      </w:r>
    </w:p>
    <w:p w:rsidR="00F50595" w:rsidRPr="00871F10" w:rsidRDefault="00F50595" w:rsidP="00782251">
      <w:pPr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782251" w:rsidRPr="007963F2" w:rsidRDefault="00782251" w:rsidP="007963F2">
      <w:pPr>
        <w:rPr>
          <w:rFonts w:ascii="Times New Roman" w:eastAsia="Times New Roman" w:hAnsi="Times New Roman"/>
          <w:sz w:val="22"/>
          <w:szCs w:val="22"/>
          <w:lang w:eastAsia="pt-BR"/>
        </w:rPr>
      </w:pPr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Nota </w:t>
      </w:r>
      <w:r w:rsidR="00871F10">
        <w:rPr>
          <w:rFonts w:ascii="Times New Roman" w:eastAsia="Times New Roman" w:hAnsi="Times New Roman"/>
          <w:b/>
          <w:sz w:val="22"/>
          <w:szCs w:val="22"/>
          <w:lang w:eastAsia="pt-BR"/>
        </w:rPr>
        <w:t>7</w:t>
      </w:r>
      <w:r w:rsidRPr="00871F10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- Restos a Pagar: 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>as despesas que foram empenhadas e não pagas até o último dia útil de 20</w:t>
      </w:r>
      <w:r w:rsidR="007C774A" w:rsidRPr="00871F10">
        <w:rPr>
          <w:rFonts w:ascii="Times New Roman" w:eastAsia="Times New Roman" w:hAnsi="Times New Roman"/>
          <w:sz w:val="22"/>
          <w:szCs w:val="22"/>
          <w:lang w:eastAsia="pt-BR"/>
        </w:rPr>
        <w:t>1</w:t>
      </w:r>
      <w:r w:rsidR="007963F2">
        <w:rPr>
          <w:rFonts w:ascii="Times New Roman" w:eastAsia="Times New Roman" w:hAnsi="Times New Roman"/>
          <w:sz w:val="22"/>
          <w:szCs w:val="22"/>
          <w:lang w:eastAsia="pt-BR"/>
        </w:rPr>
        <w:t>9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t xml:space="preserve">, foram inscritas e escrituradas como Restos a Pagar Processados e Não Processados, em atendimento aos artigos 35, 36 e 92 da Lei nº 4.320/1964.  Para fins de inscrição, foram observadas as </w:t>
      </w:r>
      <w:r w:rsidRPr="00871F10">
        <w:rPr>
          <w:rFonts w:ascii="Times New Roman" w:eastAsia="Times New Roman" w:hAnsi="Times New Roman"/>
          <w:sz w:val="22"/>
          <w:szCs w:val="22"/>
          <w:lang w:eastAsia="pt-BR"/>
        </w:rPr>
        <w:lastRenderedPageBreak/>
        <w:t xml:space="preserve">recomendações da Instrução Normativa nº 19/2016, do Tribunal de Contas do Estado e os preceitos da Lei Complementar nº 101/2000. </w:t>
      </w:r>
      <w:bookmarkStart w:id="1" w:name="_GoBack"/>
      <w:bookmarkEnd w:id="1"/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  <w:r w:rsidRPr="00871F10">
        <w:rPr>
          <w:rFonts w:ascii="Times New Roman" w:hAnsi="Times New Roman"/>
          <w:sz w:val="22"/>
          <w:szCs w:val="22"/>
        </w:rPr>
        <w:t xml:space="preserve">  </w:t>
      </w:r>
    </w:p>
    <w:tbl>
      <w:tblPr>
        <w:tblW w:w="83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5"/>
        <w:gridCol w:w="1779"/>
        <w:gridCol w:w="1779"/>
        <w:gridCol w:w="2067"/>
      </w:tblGrid>
      <w:tr w:rsidR="007963F2" w:rsidRPr="007963F2" w:rsidTr="007963F2">
        <w:trPr>
          <w:trHeight w:val="315"/>
        </w:trPr>
        <w:tc>
          <w:tcPr>
            <w:tcW w:w="8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RELAÇÃO DOS RESTOS A PAGAR DE 2019  - POSIÇÃO 31/12/2019</w:t>
            </w:r>
          </w:p>
        </w:tc>
      </w:tr>
      <w:tr w:rsidR="007963F2" w:rsidRPr="007963F2" w:rsidTr="007963F2">
        <w:trPr>
          <w:trHeight w:val="285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RPPS - FAPES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5.069,00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2.327,18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7.396,18</w:t>
            </w:r>
          </w:p>
        </w:tc>
      </w:tr>
      <w:tr w:rsidR="007963F2" w:rsidRPr="007963F2" w:rsidTr="007963F2">
        <w:trPr>
          <w:trHeight w:val="30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SUB-TOTAL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5.069,00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2.327,18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7.396,18</w:t>
            </w:r>
          </w:p>
        </w:tc>
      </w:tr>
      <w:tr w:rsidR="007963F2" w:rsidRPr="007963F2" w:rsidTr="007963F2">
        <w:trPr>
          <w:trHeight w:val="30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CÂMARA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1.180,00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29.619,38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30.799,38</w:t>
            </w:r>
          </w:p>
        </w:tc>
      </w:tr>
      <w:tr w:rsidR="007963F2" w:rsidRPr="007963F2" w:rsidTr="007963F2">
        <w:trPr>
          <w:trHeight w:val="285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SUB-TOTAL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6.249,00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31.946,56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38.195,56</w:t>
            </w:r>
          </w:p>
        </w:tc>
      </w:tr>
      <w:tr w:rsidR="007963F2" w:rsidRPr="007963F2" w:rsidTr="007963F2">
        <w:trPr>
          <w:trHeight w:val="30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REC.ESPECÍFICOS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882.342,00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304.255,96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1.186.597,96</w:t>
            </w:r>
          </w:p>
        </w:tc>
      </w:tr>
      <w:tr w:rsidR="007963F2" w:rsidRPr="007963F2" w:rsidTr="007963F2">
        <w:trPr>
          <w:trHeight w:val="285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7963F2" w:rsidRPr="007963F2" w:rsidTr="007963F2">
        <w:trPr>
          <w:trHeight w:val="315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 DE 2018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888.591,00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336.202,52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F2" w:rsidRPr="007963F2" w:rsidRDefault="007963F2" w:rsidP="007963F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963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1.224.793,52</w:t>
            </w:r>
          </w:p>
        </w:tc>
      </w:tr>
    </w:tbl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</w:p>
    <w:p w:rsidR="00411653" w:rsidRPr="00871F10" w:rsidRDefault="00411653">
      <w:pPr>
        <w:rPr>
          <w:rFonts w:ascii="Times New Roman" w:hAnsi="Times New Roman"/>
          <w:sz w:val="22"/>
          <w:szCs w:val="22"/>
        </w:rPr>
      </w:pPr>
      <w:r w:rsidRPr="00871F10">
        <w:rPr>
          <w:rFonts w:ascii="Times New Roman" w:hAnsi="Times New Roman"/>
          <w:sz w:val="22"/>
          <w:szCs w:val="22"/>
        </w:rPr>
        <w:t xml:space="preserve">                    </w:t>
      </w:r>
    </w:p>
    <w:sectPr w:rsidR="00411653" w:rsidRPr="00871F10">
      <w:pgSz w:w="11907" w:h="16840" w:code="9"/>
      <w:pgMar w:top="851" w:right="1134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C5D"/>
    <w:rsid w:val="001853E6"/>
    <w:rsid w:val="0024525E"/>
    <w:rsid w:val="002C7B32"/>
    <w:rsid w:val="003676A7"/>
    <w:rsid w:val="00396EE6"/>
    <w:rsid w:val="00411653"/>
    <w:rsid w:val="00423886"/>
    <w:rsid w:val="004677CA"/>
    <w:rsid w:val="00590D75"/>
    <w:rsid w:val="005A1023"/>
    <w:rsid w:val="00604BF6"/>
    <w:rsid w:val="00782251"/>
    <w:rsid w:val="007963F2"/>
    <w:rsid w:val="007C774A"/>
    <w:rsid w:val="00840533"/>
    <w:rsid w:val="00871F10"/>
    <w:rsid w:val="008C1782"/>
    <w:rsid w:val="008C2EAA"/>
    <w:rsid w:val="0091646E"/>
    <w:rsid w:val="009A09CA"/>
    <w:rsid w:val="009C6D60"/>
    <w:rsid w:val="00A87E17"/>
    <w:rsid w:val="00AD3F4C"/>
    <w:rsid w:val="00AE4C5D"/>
    <w:rsid w:val="00B0231C"/>
    <w:rsid w:val="00BD0E4A"/>
    <w:rsid w:val="00BF4BB0"/>
    <w:rsid w:val="00BF70A0"/>
    <w:rsid w:val="00CF0463"/>
    <w:rsid w:val="00D3172F"/>
    <w:rsid w:val="00D67480"/>
    <w:rsid w:val="00D739E5"/>
    <w:rsid w:val="00DB637D"/>
    <w:rsid w:val="00E063AD"/>
    <w:rsid w:val="00E51348"/>
    <w:rsid w:val="00F5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C7098"/>
  <w15:chartTrackingRefBased/>
  <w15:docId w15:val="{2FEE4E8B-A8A1-41DE-968D-7385C136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qFormat/>
    <w:rsid w:val="00782251"/>
    <w:pPr>
      <w:spacing w:after="60"/>
      <w:ind w:firstLine="567"/>
      <w:jc w:val="both"/>
      <w:outlineLvl w:val="1"/>
    </w:pPr>
    <w:rPr>
      <w:rFonts w:eastAsia="Times New Roman"/>
      <w:b/>
      <w:lang w:eastAsia="en-US"/>
    </w:rPr>
  </w:style>
  <w:style w:type="character" w:customStyle="1" w:styleId="SubttuloChar">
    <w:name w:val="Subtítulo Char"/>
    <w:link w:val="Subttulo"/>
    <w:rsid w:val="00782251"/>
    <w:rPr>
      <w:rFonts w:ascii="Calibri" w:hAnsi="Calibri"/>
      <w:b/>
      <w:sz w:val="24"/>
      <w:szCs w:val="24"/>
      <w:lang w:val="pt-BR" w:eastAsia="en-US" w:bidi="ar-SA"/>
    </w:rPr>
  </w:style>
  <w:style w:type="character" w:styleId="Hyperlink">
    <w:name w:val="Hyperlink"/>
    <w:uiPriority w:val="99"/>
    <w:semiHidden/>
    <w:unhideWhenUsed/>
    <w:rsid w:val="00BD0E4A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BD0E4A"/>
    <w:rPr>
      <w:color w:val="800080"/>
      <w:u w:val="single"/>
    </w:rPr>
  </w:style>
  <w:style w:type="paragraph" w:customStyle="1" w:styleId="msonormal0">
    <w:name w:val="msonormal"/>
    <w:basedOn w:val="Normal"/>
    <w:rsid w:val="00BD0E4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BD0E4A"/>
    <w:pPr>
      <w:spacing w:before="100" w:beforeAutospacing="1" w:after="100" w:afterAutospacing="1"/>
    </w:pPr>
    <w:rPr>
      <w:rFonts w:ascii="Arial" w:eastAsia="Times New Roman" w:hAnsi="Arial" w:cs="Arial"/>
      <w:lang w:eastAsia="pt-BR"/>
    </w:rPr>
  </w:style>
  <w:style w:type="paragraph" w:customStyle="1" w:styleId="xl66">
    <w:name w:val="xl66"/>
    <w:basedOn w:val="Normal"/>
    <w:rsid w:val="00BD0E4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pt-BR"/>
    </w:rPr>
  </w:style>
  <w:style w:type="paragraph" w:customStyle="1" w:styleId="xl67">
    <w:name w:val="xl67"/>
    <w:basedOn w:val="Normal"/>
    <w:rsid w:val="00BD0E4A"/>
    <w:pPr>
      <w:spacing w:before="100" w:beforeAutospacing="1" w:after="100" w:afterAutospacing="1"/>
    </w:pPr>
    <w:rPr>
      <w:rFonts w:ascii="Arial" w:eastAsia="Times New Roman" w:hAnsi="Arial" w:cs="Arial"/>
      <w:color w:val="FF0000"/>
      <w:lang w:eastAsia="pt-BR"/>
    </w:rPr>
  </w:style>
  <w:style w:type="paragraph" w:customStyle="1" w:styleId="xl68">
    <w:name w:val="xl68"/>
    <w:basedOn w:val="Normal"/>
    <w:rsid w:val="00BD0E4A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  <w:lang w:eastAsia="pt-BR"/>
    </w:rPr>
  </w:style>
  <w:style w:type="paragraph" w:customStyle="1" w:styleId="xl69">
    <w:name w:val="xl69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70">
    <w:name w:val="xl70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71">
    <w:name w:val="xl71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2">
    <w:name w:val="xl72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3">
    <w:name w:val="xl73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4">
    <w:name w:val="xl74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5">
    <w:name w:val="xl75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6">
    <w:name w:val="xl76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7">
    <w:name w:val="xl77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8">
    <w:name w:val="xl78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79">
    <w:name w:val="xl79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80">
    <w:name w:val="xl80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81">
    <w:name w:val="xl81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82">
    <w:name w:val="xl82"/>
    <w:basedOn w:val="Normal"/>
    <w:rsid w:val="00BD0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83">
    <w:name w:val="xl83"/>
    <w:basedOn w:val="Normal"/>
    <w:rsid w:val="00BD0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84">
    <w:name w:val="xl84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85">
    <w:name w:val="xl85"/>
    <w:basedOn w:val="Normal"/>
    <w:rsid w:val="00BD0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554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INTERNACIONAL  VS    FIGUEIRENSE</vt:lpstr>
    </vt:vector>
  </TitlesOfParts>
  <Company>Default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INTERNACIONAL  VS    FIGUEIRENSE</dc:title>
  <dc:subject/>
  <dc:creator>Default</dc:creator>
  <cp:keywords/>
  <cp:lastModifiedBy>Usuário</cp:lastModifiedBy>
  <cp:revision>22</cp:revision>
  <dcterms:created xsi:type="dcterms:W3CDTF">2018-01-26T12:41:00Z</dcterms:created>
  <dcterms:modified xsi:type="dcterms:W3CDTF">2020-01-30T18:40:00Z</dcterms:modified>
</cp:coreProperties>
</file>