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B7D" w:rsidRPr="007678E7" w:rsidRDefault="00F91B7D" w:rsidP="00F91B7D">
      <w:pPr>
        <w:tabs>
          <w:tab w:val="left" w:pos="945"/>
        </w:tabs>
        <w:spacing w:after="120"/>
        <w:ind w:firstLine="0"/>
        <w:jc w:val="center"/>
        <w:rPr>
          <w:rFonts w:ascii="Times New Roman" w:eastAsia="Times New Roman" w:hAnsi="Times New Roman"/>
          <w:b/>
          <w:sz w:val="20"/>
          <w:szCs w:val="20"/>
          <w:lang w:eastAsia="pt-BR"/>
        </w:rPr>
      </w:pPr>
      <w:r w:rsidRPr="007678E7">
        <w:rPr>
          <w:rFonts w:ascii="Times New Roman" w:eastAsia="Times New Roman" w:hAnsi="Times New Roman"/>
          <w:b/>
          <w:sz w:val="20"/>
          <w:szCs w:val="20"/>
          <w:lang w:eastAsia="pt-BR"/>
        </w:rPr>
        <w:t>Município de</w:t>
      </w:r>
      <w:r w:rsidR="009E2FB7">
        <w:rPr>
          <w:rFonts w:ascii="Times New Roman" w:eastAsia="Times New Roman" w:hAnsi="Times New Roman"/>
          <w:b/>
          <w:sz w:val="20"/>
          <w:szCs w:val="20"/>
          <w:lang w:eastAsia="pt-BR"/>
        </w:rPr>
        <w:t xml:space="preserve"> </w:t>
      </w:r>
      <w:proofErr w:type="spellStart"/>
      <w:r w:rsidR="009E2FB7">
        <w:rPr>
          <w:rFonts w:ascii="Times New Roman" w:eastAsia="Times New Roman" w:hAnsi="Times New Roman"/>
          <w:b/>
          <w:sz w:val="20"/>
          <w:szCs w:val="20"/>
          <w:lang w:eastAsia="pt-BR"/>
        </w:rPr>
        <w:t>C</w:t>
      </w:r>
      <w:r w:rsidR="006E4256" w:rsidRPr="007678E7">
        <w:rPr>
          <w:rFonts w:ascii="Times New Roman" w:eastAsia="Times New Roman" w:hAnsi="Times New Roman"/>
          <w:b/>
          <w:sz w:val="20"/>
          <w:szCs w:val="20"/>
          <w:lang w:eastAsia="pt-BR"/>
        </w:rPr>
        <w:t>aibaté</w:t>
      </w:r>
      <w:proofErr w:type="spellEnd"/>
    </w:p>
    <w:p w:rsidR="00F91B7D" w:rsidRPr="007678E7" w:rsidRDefault="00F91B7D" w:rsidP="00F91B7D">
      <w:pPr>
        <w:spacing w:after="120"/>
        <w:ind w:firstLine="0"/>
        <w:jc w:val="center"/>
        <w:rPr>
          <w:rFonts w:ascii="Times New Roman" w:eastAsia="Times New Roman" w:hAnsi="Times New Roman"/>
          <w:b/>
          <w:sz w:val="20"/>
          <w:szCs w:val="20"/>
          <w:lang w:eastAsia="pt-BR"/>
        </w:rPr>
      </w:pPr>
      <w:r w:rsidRPr="007678E7">
        <w:rPr>
          <w:rFonts w:ascii="Times New Roman" w:eastAsia="Times New Roman" w:hAnsi="Times New Roman"/>
          <w:b/>
          <w:sz w:val="20"/>
          <w:szCs w:val="20"/>
          <w:lang w:eastAsia="pt-BR"/>
        </w:rPr>
        <w:t xml:space="preserve">Balanço Patrimonial </w:t>
      </w:r>
      <w:r w:rsidR="009E2FB7">
        <w:rPr>
          <w:rFonts w:ascii="Times New Roman" w:eastAsia="Times New Roman" w:hAnsi="Times New Roman"/>
          <w:b/>
          <w:sz w:val="20"/>
          <w:szCs w:val="20"/>
          <w:lang w:eastAsia="pt-BR"/>
        </w:rPr>
        <w:t>Consolidado 2019</w:t>
      </w:r>
    </w:p>
    <w:p w:rsidR="00F91B7D" w:rsidRPr="007678E7" w:rsidRDefault="00F91B7D" w:rsidP="00F91B7D">
      <w:pPr>
        <w:spacing w:after="120"/>
        <w:ind w:firstLine="0"/>
        <w:jc w:val="right"/>
        <w:rPr>
          <w:rFonts w:ascii="Times New Roman" w:eastAsia="Times New Roman" w:hAnsi="Times New Roman"/>
          <w:b/>
          <w:sz w:val="20"/>
          <w:szCs w:val="20"/>
          <w:lang w:eastAsia="pt-BR"/>
        </w:rPr>
      </w:pPr>
      <w:r w:rsidRPr="007678E7">
        <w:rPr>
          <w:rFonts w:ascii="Times New Roman" w:eastAsia="Times New Roman" w:hAnsi="Times New Roman"/>
          <w:b/>
          <w:sz w:val="20"/>
          <w:szCs w:val="20"/>
          <w:lang w:eastAsia="pt-BR"/>
        </w:rPr>
        <w:t>Exercício de:</w:t>
      </w:r>
      <w:r w:rsidR="006E4256" w:rsidRPr="007678E7">
        <w:rPr>
          <w:rFonts w:ascii="Times New Roman" w:eastAsia="Times New Roman" w:hAnsi="Times New Roman"/>
          <w:b/>
          <w:sz w:val="20"/>
          <w:szCs w:val="20"/>
          <w:lang w:eastAsia="pt-BR"/>
        </w:rPr>
        <w:t>201</w:t>
      </w:r>
      <w:r w:rsidR="009E2FB7">
        <w:rPr>
          <w:rFonts w:ascii="Times New Roman" w:eastAsia="Times New Roman" w:hAnsi="Times New Roman"/>
          <w:b/>
          <w:sz w:val="20"/>
          <w:szCs w:val="20"/>
          <w:lang w:eastAsia="pt-BR"/>
        </w:rPr>
        <w:t>9</w:t>
      </w:r>
    </w:p>
    <w:p w:rsidR="00F91B7D" w:rsidRPr="007678E7" w:rsidRDefault="00F91B7D" w:rsidP="00F91B7D">
      <w:pPr>
        <w:spacing w:after="120"/>
        <w:ind w:firstLine="0"/>
        <w:rPr>
          <w:rFonts w:ascii="Times New Roman" w:eastAsia="Times New Roman" w:hAnsi="Times New Roman"/>
          <w:sz w:val="22"/>
          <w:szCs w:val="22"/>
          <w:lang w:eastAsia="pt-BR"/>
        </w:rPr>
      </w:pPr>
    </w:p>
    <w:p w:rsidR="00F91B7D" w:rsidRPr="007678E7" w:rsidRDefault="00F91B7D" w:rsidP="00F91B7D">
      <w:pPr>
        <w:pStyle w:val="Subttulo"/>
        <w:spacing w:after="120"/>
        <w:jc w:val="center"/>
        <w:rPr>
          <w:rFonts w:ascii="Times New Roman" w:hAnsi="Times New Roman"/>
          <w:sz w:val="22"/>
          <w:szCs w:val="22"/>
          <w:lang w:eastAsia="pt-BR"/>
        </w:rPr>
      </w:pPr>
      <w:bookmarkStart w:id="0" w:name="_Toc497473723"/>
      <w:r w:rsidRPr="007678E7">
        <w:rPr>
          <w:rFonts w:ascii="Times New Roman" w:hAnsi="Times New Roman"/>
          <w:sz w:val="22"/>
          <w:szCs w:val="22"/>
          <w:lang w:eastAsia="pt-BR"/>
        </w:rPr>
        <w:t>Notas Explicativas do Balanço Patrimonial</w:t>
      </w:r>
      <w:bookmarkEnd w:id="0"/>
    </w:p>
    <w:p w:rsidR="00F91B7D" w:rsidRPr="007678E7" w:rsidRDefault="00F91B7D" w:rsidP="00F91B7D">
      <w:pPr>
        <w:spacing w:after="0"/>
        <w:rPr>
          <w:rFonts w:ascii="Times New Roman" w:eastAsia="Times New Roman" w:hAnsi="Times New Roman"/>
          <w:spacing w:val="7"/>
          <w:sz w:val="22"/>
          <w:szCs w:val="22"/>
          <w:lang w:eastAsia="pt-BR"/>
        </w:rPr>
      </w:pPr>
      <w:r w:rsidRPr="007678E7">
        <w:rPr>
          <w:rFonts w:ascii="Times New Roman" w:eastAsia="Times New Roman" w:hAnsi="Times New Roman"/>
          <w:b/>
          <w:bCs/>
          <w:sz w:val="22"/>
          <w:szCs w:val="22"/>
          <w:lang w:eastAsia="pt-BR"/>
        </w:rPr>
        <w:t>Nota 1 – Contexto Operacional:</w:t>
      </w:r>
      <w:r w:rsidRPr="007678E7">
        <w:rPr>
          <w:rFonts w:ascii="Times New Roman" w:eastAsia="Times New Roman" w:hAnsi="Times New Roman"/>
          <w:sz w:val="22"/>
          <w:szCs w:val="22"/>
          <w:lang w:eastAsia="pt-BR"/>
        </w:rPr>
        <w:t xml:space="preserve"> o</w:t>
      </w:r>
      <w:r w:rsidRPr="007678E7">
        <w:rPr>
          <w:rFonts w:ascii="Times New Roman" w:eastAsia="Times New Roman" w:hAnsi="Times New Roman"/>
          <w:spacing w:val="7"/>
          <w:sz w:val="22"/>
          <w:szCs w:val="22"/>
          <w:lang w:eastAsia="pt-BR"/>
        </w:rPr>
        <w:t xml:space="preserve"> Município de </w:t>
      </w:r>
      <w:proofErr w:type="spellStart"/>
      <w:proofErr w:type="gramStart"/>
      <w:r w:rsidR="006E4256" w:rsidRPr="007678E7">
        <w:rPr>
          <w:rFonts w:ascii="Times New Roman" w:eastAsia="Times New Roman" w:hAnsi="Times New Roman"/>
          <w:spacing w:val="7"/>
          <w:sz w:val="22"/>
          <w:szCs w:val="22"/>
          <w:lang w:eastAsia="pt-BR"/>
        </w:rPr>
        <w:t>Caibaté</w:t>
      </w:r>
      <w:proofErr w:type="spellEnd"/>
      <w:r w:rsidRPr="007678E7">
        <w:rPr>
          <w:rFonts w:ascii="Times New Roman" w:eastAsia="Times New Roman" w:hAnsi="Times New Roman"/>
          <w:spacing w:val="7"/>
          <w:sz w:val="22"/>
          <w:szCs w:val="22"/>
          <w:lang w:eastAsia="pt-BR"/>
        </w:rPr>
        <w:t xml:space="preserve">  pessoa</w:t>
      </w:r>
      <w:proofErr w:type="gramEnd"/>
      <w:r w:rsidRPr="007678E7">
        <w:rPr>
          <w:rFonts w:ascii="Times New Roman" w:eastAsia="Times New Roman" w:hAnsi="Times New Roman"/>
          <w:spacing w:val="7"/>
          <w:sz w:val="22"/>
          <w:szCs w:val="22"/>
          <w:lang w:eastAsia="pt-BR"/>
        </w:rPr>
        <w:t xml:space="preserve"> jurídica  de direito público, é compreendido, na Administração Direta, pelos  órgãos sem personalidade jurídica do Poder Executivo, composto por </w:t>
      </w:r>
      <w:r w:rsidR="006E4256" w:rsidRPr="007678E7">
        <w:rPr>
          <w:rFonts w:ascii="Times New Roman" w:eastAsia="Times New Roman" w:hAnsi="Times New Roman"/>
          <w:spacing w:val="7"/>
          <w:sz w:val="22"/>
          <w:szCs w:val="22"/>
          <w:lang w:eastAsia="pt-BR"/>
        </w:rPr>
        <w:t>07</w:t>
      </w:r>
      <w:r w:rsidRPr="007678E7">
        <w:rPr>
          <w:rFonts w:ascii="Times New Roman" w:eastAsia="Times New Roman" w:hAnsi="Times New Roman"/>
          <w:spacing w:val="7"/>
          <w:sz w:val="22"/>
          <w:szCs w:val="22"/>
          <w:lang w:eastAsia="pt-BR"/>
        </w:rPr>
        <w:t xml:space="preserve"> Secretarias Municipais,</w:t>
      </w:r>
      <w:r w:rsidR="006E4256" w:rsidRPr="007678E7">
        <w:rPr>
          <w:rFonts w:ascii="Times New Roman" w:eastAsia="Times New Roman" w:hAnsi="Times New Roman"/>
          <w:spacing w:val="7"/>
          <w:sz w:val="22"/>
          <w:szCs w:val="22"/>
          <w:lang w:eastAsia="pt-BR"/>
        </w:rPr>
        <w:t xml:space="preserve"> 01</w:t>
      </w:r>
      <w:r w:rsidRPr="007678E7">
        <w:rPr>
          <w:rFonts w:ascii="Times New Roman" w:eastAsia="Times New Roman" w:hAnsi="Times New Roman"/>
          <w:spacing w:val="7"/>
          <w:sz w:val="22"/>
          <w:szCs w:val="22"/>
          <w:lang w:eastAsia="pt-BR"/>
        </w:rPr>
        <w:t xml:space="preserve"> Fundo</w:t>
      </w:r>
      <w:r w:rsidR="006E4256" w:rsidRPr="007678E7">
        <w:rPr>
          <w:rFonts w:ascii="Times New Roman" w:eastAsia="Times New Roman" w:hAnsi="Times New Roman"/>
          <w:spacing w:val="7"/>
          <w:sz w:val="22"/>
          <w:szCs w:val="22"/>
          <w:lang w:eastAsia="pt-BR"/>
        </w:rPr>
        <w:t xml:space="preserve"> de aposentadoria e pensão do servidor </w:t>
      </w:r>
      <w:r w:rsidRPr="007678E7">
        <w:rPr>
          <w:rFonts w:ascii="Times New Roman" w:eastAsia="Times New Roman" w:hAnsi="Times New Roman"/>
          <w:spacing w:val="7"/>
          <w:sz w:val="22"/>
          <w:szCs w:val="22"/>
          <w:lang w:eastAsia="pt-BR"/>
        </w:rPr>
        <w:t xml:space="preserve">e o Poder Legislativo. </w:t>
      </w:r>
    </w:p>
    <w:p w:rsidR="00F91B7D" w:rsidRPr="007678E7" w:rsidRDefault="00F91B7D" w:rsidP="00F91B7D">
      <w:pPr>
        <w:keepNext/>
        <w:widowControl w:val="0"/>
        <w:tabs>
          <w:tab w:val="left" w:pos="720"/>
        </w:tabs>
        <w:suppressAutoHyphens/>
        <w:spacing w:after="0"/>
        <w:outlineLvl w:val="0"/>
        <w:rPr>
          <w:rFonts w:ascii="Times New Roman" w:eastAsia="Times New Roman" w:hAnsi="Times New Roman"/>
          <w:b/>
          <w:bCs/>
          <w:color w:val="000000"/>
          <w:sz w:val="22"/>
          <w:szCs w:val="22"/>
          <w:lang w:eastAsia="pt-BR"/>
        </w:rPr>
      </w:pPr>
    </w:p>
    <w:p w:rsidR="00F91B7D" w:rsidRPr="007678E7" w:rsidRDefault="00F91B7D" w:rsidP="00F91B7D">
      <w:pPr>
        <w:spacing w:after="0"/>
        <w:rPr>
          <w:rFonts w:ascii="Times New Roman" w:hAnsi="Times New Roman"/>
          <w:sz w:val="22"/>
          <w:szCs w:val="22"/>
          <w:lang w:eastAsia="pt-BR"/>
        </w:rPr>
      </w:pPr>
      <w:r w:rsidRPr="007678E7">
        <w:rPr>
          <w:rFonts w:ascii="Times New Roman" w:hAnsi="Times New Roman"/>
          <w:b/>
          <w:bCs/>
          <w:sz w:val="22"/>
          <w:szCs w:val="22"/>
          <w:lang w:eastAsia="pt-BR"/>
        </w:rPr>
        <w:t>Nota 2 – Apresentação das Demonstrações Contábeis:</w:t>
      </w:r>
      <w:r w:rsidRPr="007678E7">
        <w:rPr>
          <w:rFonts w:ascii="Times New Roman" w:hAnsi="Times New Roman"/>
          <w:sz w:val="22"/>
          <w:szCs w:val="22"/>
          <w:lang w:eastAsia="pt-BR"/>
        </w:rPr>
        <w:t xml:space="preserve"> foram elaboradas em observância com 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w:t>
      </w:r>
      <w:proofErr w:type="gramStart"/>
      <w:r w:rsidRPr="007678E7">
        <w:rPr>
          <w:rFonts w:ascii="Times New Roman" w:hAnsi="Times New Roman"/>
          <w:sz w:val="22"/>
          <w:szCs w:val="22"/>
          <w:lang w:eastAsia="pt-BR"/>
        </w:rPr>
        <w:t>vigentes</w:t>
      </w:r>
      <w:proofErr w:type="gramEnd"/>
      <w:r w:rsidRPr="007678E7">
        <w:rPr>
          <w:rFonts w:ascii="Times New Roman" w:hAnsi="Times New Roman"/>
          <w:sz w:val="22"/>
          <w:szCs w:val="22"/>
          <w:lang w:eastAsia="pt-BR"/>
        </w:rPr>
        <w:t>.</w:t>
      </w:r>
    </w:p>
    <w:p w:rsidR="00F91B7D" w:rsidRPr="007678E7" w:rsidRDefault="00F91B7D" w:rsidP="00F91B7D">
      <w:pPr>
        <w:spacing w:after="0"/>
        <w:rPr>
          <w:rFonts w:ascii="Times New Roman" w:eastAsia="Times New Roman" w:hAnsi="Times New Roman"/>
          <w:b/>
          <w:bCs/>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3 – Caixa e Equivalente de Caixa: </w:t>
      </w:r>
      <w:r w:rsidRPr="007678E7">
        <w:rPr>
          <w:rFonts w:ascii="Times New Roman" w:eastAsia="Times New Roman" w:hAnsi="Times New Roman"/>
          <w:sz w:val="22"/>
          <w:szCs w:val="22"/>
          <w:lang w:eastAsia="pt-BR"/>
        </w:rPr>
        <w:t>compreende o somatório dos valores em caixa e em bancos, bem como equivalentes, que representam recursos com livre movimentação para aplicação nas operações da entidade e para os quais não haja restrições para uso imediato. Em 201</w:t>
      </w:r>
      <w:r w:rsidR="009E2FB7">
        <w:rPr>
          <w:rFonts w:ascii="Times New Roman" w:eastAsia="Times New Roman" w:hAnsi="Times New Roman"/>
          <w:sz w:val="22"/>
          <w:szCs w:val="22"/>
          <w:lang w:eastAsia="pt-BR"/>
        </w:rPr>
        <w:t>9</w:t>
      </w:r>
      <w:r w:rsidRPr="007678E7">
        <w:rPr>
          <w:rFonts w:ascii="Times New Roman" w:eastAsia="Times New Roman" w:hAnsi="Times New Roman"/>
          <w:sz w:val="22"/>
          <w:szCs w:val="22"/>
          <w:lang w:eastAsia="pt-BR"/>
        </w:rPr>
        <w:t xml:space="preserve"> o Caixa e Equivalentes de Caixa totalizou R$ </w:t>
      </w:r>
      <w:r w:rsidR="009E2FB7">
        <w:rPr>
          <w:rFonts w:ascii="Times New Roman" w:eastAsia="Times New Roman" w:hAnsi="Times New Roman"/>
          <w:sz w:val="22"/>
          <w:szCs w:val="22"/>
          <w:lang w:eastAsia="pt-BR"/>
        </w:rPr>
        <w:t>13.194.876,44.</w:t>
      </w:r>
      <w:r w:rsidRPr="007678E7">
        <w:rPr>
          <w:rFonts w:ascii="Times New Roman" w:eastAsia="Times New Roman" w:hAnsi="Times New Roman"/>
          <w:sz w:val="22"/>
          <w:szCs w:val="22"/>
          <w:lang w:eastAsia="pt-BR"/>
        </w:rPr>
        <w:t xml:space="preserve"> </w:t>
      </w:r>
    </w:p>
    <w:p w:rsidR="00A76B61" w:rsidRPr="007678E7" w:rsidRDefault="00A76B61" w:rsidP="00F91B7D">
      <w:pPr>
        <w:spacing w:after="0"/>
        <w:rPr>
          <w:rFonts w:ascii="Times New Roman" w:eastAsia="Times New Roman" w:hAnsi="Times New Roman"/>
          <w:b/>
          <w:bCs/>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4 – Créditos a Receber a Curto Prazo e a Longo Prazos: </w:t>
      </w:r>
      <w:r w:rsidR="009878FB" w:rsidRPr="007678E7">
        <w:rPr>
          <w:rFonts w:ascii="Times New Roman" w:eastAsia="Times New Roman" w:hAnsi="Times New Roman"/>
          <w:bCs/>
          <w:sz w:val="22"/>
          <w:szCs w:val="22"/>
          <w:lang w:eastAsia="pt-BR"/>
        </w:rPr>
        <w:t xml:space="preserve">No encerramento de </w:t>
      </w:r>
      <w:proofErr w:type="gramStart"/>
      <w:r w:rsidR="009E2FB7">
        <w:rPr>
          <w:rFonts w:ascii="Times New Roman" w:eastAsia="Times New Roman" w:hAnsi="Times New Roman"/>
          <w:bCs/>
          <w:sz w:val="22"/>
          <w:szCs w:val="22"/>
          <w:lang w:eastAsia="pt-BR"/>
        </w:rPr>
        <w:t>2019</w:t>
      </w:r>
      <w:r w:rsidR="009878FB" w:rsidRPr="007678E7">
        <w:rPr>
          <w:rFonts w:ascii="Times New Roman" w:eastAsia="Times New Roman" w:hAnsi="Times New Roman"/>
          <w:bCs/>
          <w:sz w:val="22"/>
          <w:szCs w:val="22"/>
          <w:lang w:eastAsia="pt-BR"/>
        </w:rPr>
        <w:t xml:space="preserve">  a</w:t>
      </w:r>
      <w:proofErr w:type="gramEnd"/>
      <w:r w:rsidR="009878FB" w:rsidRPr="007678E7">
        <w:rPr>
          <w:rFonts w:ascii="Times New Roman" w:eastAsia="Times New Roman" w:hAnsi="Times New Roman"/>
          <w:bCs/>
          <w:sz w:val="22"/>
          <w:szCs w:val="22"/>
          <w:lang w:eastAsia="pt-BR"/>
        </w:rPr>
        <w:t xml:space="preserve"> contabilidade efetuou lançamentos de ajustes de dívida. </w:t>
      </w:r>
      <w:r w:rsidR="00DC4098" w:rsidRPr="007678E7">
        <w:rPr>
          <w:rFonts w:ascii="Times New Roman" w:eastAsia="Times New Roman" w:hAnsi="Times New Roman"/>
          <w:bCs/>
          <w:sz w:val="22"/>
          <w:szCs w:val="22"/>
          <w:lang w:eastAsia="pt-BR"/>
        </w:rPr>
        <w:t xml:space="preserve">Para o exercício de </w:t>
      </w:r>
      <w:r w:rsidR="009E2FB7">
        <w:rPr>
          <w:rFonts w:ascii="Times New Roman" w:eastAsia="Times New Roman" w:hAnsi="Times New Roman"/>
          <w:bCs/>
          <w:sz w:val="22"/>
          <w:szCs w:val="22"/>
          <w:lang w:eastAsia="pt-BR"/>
        </w:rPr>
        <w:t>2020</w:t>
      </w:r>
      <w:r w:rsidR="00DC4098" w:rsidRPr="007678E7">
        <w:rPr>
          <w:rFonts w:ascii="Times New Roman" w:eastAsia="Times New Roman" w:hAnsi="Times New Roman"/>
          <w:bCs/>
          <w:sz w:val="22"/>
          <w:szCs w:val="22"/>
          <w:lang w:eastAsia="pt-BR"/>
        </w:rPr>
        <w:t xml:space="preserve"> estaremos providenciando a integração para que os dados sejam precisos tanto do setor tributário como os da contabilidade.</w:t>
      </w:r>
    </w:p>
    <w:p w:rsidR="00F91B7D" w:rsidRPr="007678E7" w:rsidRDefault="00F91B7D" w:rsidP="00F91B7D">
      <w:pPr>
        <w:spacing w:after="0"/>
        <w:rPr>
          <w:rFonts w:ascii="Times New Roman" w:eastAsia="Times New Roman" w:hAnsi="Times New Roman"/>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sz w:val="22"/>
          <w:szCs w:val="22"/>
          <w:lang w:eastAsia="pt-BR"/>
        </w:rPr>
        <w:t xml:space="preserve">O quadro a seguir detalha a composição dos saldos existentes </w:t>
      </w:r>
      <w:proofErr w:type="gramStart"/>
      <w:r w:rsidRPr="007678E7">
        <w:rPr>
          <w:rFonts w:ascii="Times New Roman" w:eastAsia="Times New Roman" w:hAnsi="Times New Roman"/>
          <w:sz w:val="22"/>
          <w:szCs w:val="22"/>
          <w:lang w:eastAsia="pt-BR"/>
        </w:rPr>
        <w:t>em  31</w:t>
      </w:r>
      <w:proofErr w:type="gramEnd"/>
      <w:r w:rsidRPr="007678E7">
        <w:rPr>
          <w:rFonts w:ascii="Times New Roman" w:eastAsia="Times New Roman" w:hAnsi="Times New Roman"/>
          <w:sz w:val="22"/>
          <w:szCs w:val="22"/>
          <w:lang w:eastAsia="pt-BR"/>
        </w:rPr>
        <w:t>/12/20</w:t>
      </w:r>
      <w:r w:rsidR="00DC4098" w:rsidRPr="007678E7">
        <w:rPr>
          <w:rFonts w:ascii="Times New Roman" w:eastAsia="Times New Roman" w:hAnsi="Times New Roman"/>
          <w:sz w:val="22"/>
          <w:szCs w:val="22"/>
          <w:lang w:eastAsia="pt-BR"/>
        </w:rPr>
        <w:t>1</w:t>
      </w:r>
      <w:r w:rsidR="009E2FB7">
        <w:rPr>
          <w:rFonts w:ascii="Times New Roman" w:eastAsia="Times New Roman" w:hAnsi="Times New Roman"/>
          <w:sz w:val="22"/>
          <w:szCs w:val="22"/>
          <w:lang w:eastAsia="pt-BR"/>
        </w:rPr>
        <w:t>9</w:t>
      </w:r>
      <w:r w:rsidRPr="007678E7">
        <w:rPr>
          <w:rFonts w:ascii="Times New Roman" w:eastAsia="Times New Roman" w:hAnsi="Times New Roman"/>
          <w:sz w:val="22"/>
          <w:szCs w:val="22"/>
          <w:lang w:eastAsia="pt-BR"/>
        </w:rPr>
        <w:t>:</w:t>
      </w:r>
    </w:p>
    <w:p w:rsidR="00F91B7D" w:rsidRPr="007678E7" w:rsidRDefault="00F91B7D" w:rsidP="00F91B7D">
      <w:pPr>
        <w:spacing w:after="0"/>
        <w:rPr>
          <w:rFonts w:ascii="Times New Roman" w:eastAsia="Times New Roman" w:hAnsi="Times New Roman"/>
          <w:sz w:val="22"/>
          <w:szCs w:val="22"/>
          <w:lang w:eastAsia="pt-BR"/>
        </w:rPr>
      </w:pPr>
    </w:p>
    <w:tbl>
      <w:tblPr>
        <w:tblW w:w="9072" w:type="dxa"/>
        <w:tblInd w:w="70" w:type="dxa"/>
        <w:tblCellMar>
          <w:left w:w="70" w:type="dxa"/>
          <w:right w:w="70" w:type="dxa"/>
        </w:tblCellMar>
        <w:tblLook w:val="0000" w:firstRow="0" w:lastRow="0" w:firstColumn="0" w:lastColumn="0" w:noHBand="0" w:noVBand="0"/>
      </w:tblPr>
      <w:tblGrid>
        <w:gridCol w:w="3069"/>
        <w:gridCol w:w="1178"/>
        <w:gridCol w:w="3677"/>
        <w:gridCol w:w="1148"/>
      </w:tblGrid>
      <w:tr w:rsidR="00F91B7D" w:rsidRPr="007678E7" w:rsidTr="00A76B61">
        <w:trPr>
          <w:trHeight w:val="20"/>
        </w:trPr>
        <w:tc>
          <w:tcPr>
            <w:tcW w:w="3069"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7678E7" w:rsidRDefault="00F91B7D" w:rsidP="00F91B7D">
            <w:pPr>
              <w:spacing w:after="0"/>
              <w:ind w:firstLine="0"/>
              <w:jc w:val="center"/>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Créditos de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F91B7D" w:rsidP="00F91B7D">
            <w:pPr>
              <w:spacing w:after="0"/>
              <w:ind w:firstLine="0"/>
              <w:jc w:val="center"/>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Saldo</w:t>
            </w:r>
          </w:p>
        </w:tc>
        <w:tc>
          <w:tcPr>
            <w:tcW w:w="3677"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F91B7D" w:rsidP="00F91B7D">
            <w:pPr>
              <w:spacing w:after="0"/>
              <w:ind w:firstLine="0"/>
              <w:jc w:val="center"/>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Créditos de Longo Prazo</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F91B7D" w:rsidP="00F91B7D">
            <w:pPr>
              <w:spacing w:after="0"/>
              <w:ind w:firstLine="0"/>
              <w:jc w:val="center"/>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Saldo</w:t>
            </w:r>
          </w:p>
        </w:tc>
      </w:tr>
      <w:tr w:rsidR="00F91B7D" w:rsidRPr="007678E7" w:rsidTr="00A76B61">
        <w:trPr>
          <w:trHeight w:val="20"/>
        </w:trPr>
        <w:tc>
          <w:tcPr>
            <w:tcW w:w="3069" w:type="dxa"/>
            <w:tcBorders>
              <w:top w:val="single" w:sz="4" w:space="0" w:color="auto"/>
              <w:left w:val="single" w:sz="4" w:space="0" w:color="auto"/>
              <w:bottom w:val="single" w:sz="4" w:space="0" w:color="auto"/>
              <w:right w:val="single" w:sz="4" w:space="0" w:color="auto"/>
            </w:tcBorders>
            <w:shd w:val="clear" w:color="auto" w:fill="FFFFFF"/>
            <w:vAlign w:val="center"/>
          </w:tcPr>
          <w:p w:rsidR="00F91B7D" w:rsidRPr="007678E7" w:rsidRDefault="00F91B7D" w:rsidP="00F91B7D">
            <w:pPr>
              <w:spacing w:after="0"/>
              <w:ind w:firstLine="0"/>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Total dos Créditos a Receber de Curto Prazo</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9E2FB7" w:rsidP="00F91B7D">
            <w:pPr>
              <w:spacing w:after="0"/>
              <w:ind w:firstLine="0"/>
              <w:rPr>
                <w:rFonts w:ascii="Times New Roman" w:eastAsia="Times New Roman" w:hAnsi="Times New Roman"/>
                <w:b/>
                <w:bCs/>
                <w:sz w:val="22"/>
                <w:szCs w:val="22"/>
                <w:lang w:eastAsia="zh-CN"/>
              </w:rPr>
            </w:pPr>
            <w:r>
              <w:rPr>
                <w:rFonts w:ascii="Times New Roman" w:eastAsia="Times New Roman" w:hAnsi="Times New Roman"/>
                <w:b/>
                <w:bCs/>
                <w:sz w:val="22"/>
                <w:szCs w:val="22"/>
                <w:lang w:eastAsia="zh-CN"/>
              </w:rPr>
              <w:t>609.806,27</w:t>
            </w:r>
          </w:p>
        </w:tc>
        <w:tc>
          <w:tcPr>
            <w:tcW w:w="3677"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F91B7D" w:rsidP="00F91B7D">
            <w:pPr>
              <w:spacing w:after="0"/>
              <w:ind w:firstLine="0"/>
              <w:rPr>
                <w:rFonts w:ascii="Times New Roman" w:eastAsia="Times New Roman" w:hAnsi="Times New Roman"/>
                <w:b/>
                <w:bCs/>
                <w:sz w:val="22"/>
                <w:szCs w:val="22"/>
                <w:lang w:eastAsia="zh-CN"/>
              </w:rPr>
            </w:pPr>
            <w:r w:rsidRPr="007678E7">
              <w:rPr>
                <w:rFonts w:ascii="Times New Roman" w:eastAsia="Times New Roman" w:hAnsi="Times New Roman"/>
                <w:b/>
                <w:bCs/>
                <w:sz w:val="22"/>
                <w:szCs w:val="22"/>
                <w:lang w:eastAsia="zh-CN"/>
              </w:rPr>
              <w:t>Total dos Créditos a Receber de Longo Prazo</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F91B7D" w:rsidRPr="007678E7" w:rsidRDefault="009E2FB7" w:rsidP="00F91B7D">
            <w:pPr>
              <w:spacing w:after="0"/>
              <w:ind w:firstLine="0"/>
              <w:rPr>
                <w:rFonts w:ascii="Times New Roman" w:eastAsia="Times New Roman" w:hAnsi="Times New Roman"/>
                <w:b/>
                <w:bCs/>
                <w:sz w:val="22"/>
                <w:szCs w:val="22"/>
                <w:lang w:eastAsia="zh-CN"/>
              </w:rPr>
            </w:pPr>
            <w:r>
              <w:rPr>
                <w:rFonts w:ascii="Times New Roman" w:eastAsia="Times New Roman" w:hAnsi="Times New Roman"/>
                <w:b/>
                <w:bCs/>
                <w:sz w:val="22"/>
                <w:szCs w:val="22"/>
                <w:lang w:eastAsia="zh-CN"/>
              </w:rPr>
              <w:t>850.738,50</w:t>
            </w:r>
          </w:p>
        </w:tc>
      </w:tr>
    </w:tbl>
    <w:p w:rsidR="00F91B7D" w:rsidRPr="007678E7" w:rsidRDefault="00F91B7D" w:rsidP="00F91B7D">
      <w:pPr>
        <w:spacing w:after="0"/>
        <w:rPr>
          <w:rFonts w:ascii="Times New Roman" w:eastAsia="Times New Roman" w:hAnsi="Times New Roman"/>
          <w:sz w:val="22"/>
          <w:szCs w:val="22"/>
          <w:lang w:eastAsia="pt-BR"/>
        </w:rPr>
      </w:pPr>
    </w:p>
    <w:p w:rsidR="00F91B7D" w:rsidRPr="007678E7" w:rsidRDefault="00F91B7D" w:rsidP="00DC4098">
      <w:pPr>
        <w:spacing w:after="0"/>
        <w:ind w:firstLine="0"/>
        <w:rPr>
          <w:rFonts w:ascii="Times New Roman" w:eastAsia="Times New Roman" w:hAnsi="Times New Roman"/>
          <w:b/>
          <w:bCs/>
          <w:sz w:val="22"/>
          <w:szCs w:val="22"/>
          <w:lang w:eastAsia="pt-BR"/>
        </w:rPr>
      </w:pPr>
    </w:p>
    <w:p w:rsidR="00F91B7D" w:rsidRPr="007678E7" w:rsidRDefault="00F91B7D" w:rsidP="00F91B7D">
      <w:pPr>
        <w:spacing w:after="0"/>
        <w:rPr>
          <w:rFonts w:ascii="Times New Roman" w:eastAsia="Times New Roman" w:hAnsi="Times New Roman"/>
          <w:b/>
          <w:bCs/>
          <w:sz w:val="22"/>
          <w:szCs w:val="22"/>
          <w:lang w:eastAsia="pt-BR"/>
        </w:rPr>
      </w:pPr>
      <w:r w:rsidRPr="007678E7">
        <w:rPr>
          <w:rFonts w:ascii="Times New Roman" w:eastAsia="Times New Roman" w:hAnsi="Times New Roman"/>
          <w:b/>
          <w:bCs/>
          <w:sz w:val="22"/>
          <w:szCs w:val="22"/>
          <w:lang w:eastAsia="pt-BR"/>
        </w:rPr>
        <w:t xml:space="preserve">Nota </w:t>
      </w:r>
      <w:r w:rsidR="00DC4098" w:rsidRPr="007678E7">
        <w:rPr>
          <w:rFonts w:ascii="Times New Roman" w:eastAsia="Times New Roman" w:hAnsi="Times New Roman"/>
          <w:b/>
          <w:bCs/>
          <w:sz w:val="22"/>
          <w:szCs w:val="22"/>
          <w:lang w:eastAsia="pt-BR"/>
        </w:rPr>
        <w:t>5</w:t>
      </w:r>
      <w:r w:rsidRPr="007678E7">
        <w:rPr>
          <w:rFonts w:ascii="Times New Roman" w:eastAsia="Times New Roman" w:hAnsi="Times New Roman"/>
          <w:b/>
          <w:bCs/>
          <w:sz w:val="22"/>
          <w:szCs w:val="22"/>
          <w:lang w:eastAsia="pt-BR"/>
        </w:rPr>
        <w:t xml:space="preserve"> – Estoques: </w:t>
      </w:r>
      <w:r w:rsidR="00DC4098" w:rsidRPr="007678E7">
        <w:rPr>
          <w:rFonts w:ascii="Times New Roman" w:eastAsia="Times New Roman" w:hAnsi="Times New Roman"/>
          <w:sz w:val="22"/>
          <w:szCs w:val="22"/>
          <w:lang w:eastAsia="pt-BR"/>
        </w:rPr>
        <w:t>não possuímos um sistema de controle de estoques</w:t>
      </w:r>
      <w:r w:rsidR="009878FB" w:rsidRPr="007678E7">
        <w:rPr>
          <w:rFonts w:ascii="Times New Roman" w:eastAsia="Times New Roman" w:hAnsi="Times New Roman"/>
          <w:sz w:val="22"/>
          <w:szCs w:val="22"/>
          <w:lang w:eastAsia="pt-BR"/>
        </w:rPr>
        <w:t xml:space="preserve">, para o exercício de </w:t>
      </w:r>
      <w:r w:rsidR="009E2FB7">
        <w:rPr>
          <w:rFonts w:ascii="Times New Roman" w:eastAsia="Times New Roman" w:hAnsi="Times New Roman"/>
          <w:sz w:val="22"/>
          <w:szCs w:val="22"/>
          <w:lang w:eastAsia="pt-BR"/>
        </w:rPr>
        <w:t>2020</w:t>
      </w:r>
      <w:r w:rsidR="009878FB" w:rsidRPr="007678E7">
        <w:rPr>
          <w:rFonts w:ascii="Times New Roman" w:eastAsia="Times New Roman" w:hAnsi="Times New Roman"/>
          <w:sz w:val="22"/>
          <w:szCs w:val="22"/>
          <w:lang w:eastAsia="pt-BR"/>
        </w:rPr>
        <w:t xml:space="preserve"> procederemos a atualização do sistema.</w:t>
      </w:r>
    </w:p>
    <w:p w:rsidR="00F91B7D" w:rsidRPr="007678E7" w:rsidRDefault="00F91B7D" w:rsidP="00F91B7D">
      <w:pPr>
        <w:spacing w:after="0"/>
        <w:rPr>
          <w:rFonts w:ascii="Times New Roman" w:eastAsia="Times New Roman" w:hAnsi="Times New Roman"/>
          <w:b/>
          <w:bCs/>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DC4098" w:rsidRPr="007678E7">
        <w:rPr>
          <w:rFonts w:ascii="Times New Roman" w:eastAsia="Times New Roman" w:hAnsi="Times New Roman"/>
          <w:b/>
          <w:bCs/>
          <w:sz w:val="22"/>
          <w:szCs w:val="22"/>
          <w:lang w:eastAsia="pt-BR"/>
        </w:rPr>
        <w:t>6</w:t>
      </w:r>
      <w:r w:rsidRPr="007678E7">
        <w:rPr>
          <w:rFonts w:ascii="Times New Roman" w:eastAsia="Times New Roman" w:hAnsi="Times New Roman"/>
          <w:b/>
          <w:bCs/>
          <w:sz w:val="22"/>
          <w:szCs w:val="22"/>
          <w:lang w:eastAsia="pt-BR"/>
        </w:rPr>
        <w:t xml:space="preserve">– </w:t>
      </w:r>
      <w:proofErr w:type="gramStart"/>
      <w:r w:rsidRPr="007678E7">
        <w:rPr>
          <w:rFonts w:ascii="Times New Roman" w:eastAsia="Times New Roman" w:hAnsi="Times New Roman"/>
          <w:b/>
          <w:bCs/>
          <w:sz w:val="22"/>
          <w:szCs w:val="22"/>
          <w:lang w:eastAsia="pt-BR"/>
        </w:rPr>
        <w:t>VPD  Pagas</w:t>
      </w:r>
      <w:proofErr w:type="gramEnd"/>
      <w:r w:rsidRPr="007678E7">
        <w:rPr>
          <w:rFonts w:ascii="Times New Roman" w:eastAsia="Times New Roman" w:hAnsi="Times New Roman"/>
          <w:b/>
          <w:bCs/>
          <w:sz w:val="22"/>
          <w:szCs w:val="22"/>
          <w:lang w:eastAsia="pt-BR"/>
        </w:rPr>
        <w:t xml:space="preserve"> Antecipadamente: </w:t>
      </w:r>
      <w:r w:rsidRPr="007678E7">
        <w:rPr>
          <w:rFonts w:ascii="Times New Roman" w:eastAsia="Times New Roman" w:hAnsi="Times New Roman"/>
          <w:sz w:val="22"/>
          <w:szCs w:val="22"/>
          <w:lang w:eastAsia="pt-BR"/>
        </w:rPr>
        <w:t>os saldos apresentados são relativos aos pagamentos de variações patrimoniais diminutivas (VPD) antecipadas, cujos benefícios ou prestação de serviço à entidade ocorrerão no curto prazo. Em 201</w:t>
      </w:r>
      <w:r w:rsidR="002946F7">
        <w:rPr>
          <w:rFonts w:ascii="Times New Roman" w:eastAsia="Times New Roman" w:hAnsi="Times New Roman"/>
          <w:sz w:val="22"/>
          <w:szCs w:val="22"/>
          <w:lang w:eastAsia="pt-BR"/>
        </w:rPr>
        <w:t>9</w:t>
      </w:r>
      <w:r w:rsidRPr="007678E7">
        <w:rPr>
          <w:rFonts w:ascii="Times New Roman" w:eastAsia="Times New Roman" w:hAnsi="Times New Roman"/>
          <w:sz w:val="22"/>
          <w:szCs w:val="22"/>
          <w:lang w:eastAsia="pt-BR"/>
        </w:rPr>
        <w:t xml:space="preserve"> essa rubrica apresentou um saldo de R$ </w:t>
      </w:r>
      <w:r w:rsidR="00DC4098" w:rsidRPr="007678E7">
        <w:rPr>
          <w:rFonts w:ascii="Times New Roman" w:eastAsia="Times New Roman" w:hAnsi="Times New Roman"/>
          <w:sz w:val="22"/>
          <w:szCs w:val="22"/>
          <w:lang w:eastAsia="pt-BR"/>
        </w:rPr>
        <w:t>0,00</w:t>
      </w:r>
      <w:r w:rsidRPr="007678E7">
        <w:rPr>
          <w:rFonts w:ascii="Times New Roman" w:eastAsia="Times New Roman" w:hAnsi="Times New Roman"/>
          <w:sz w:val="22"/>
          <w:szCs w:val="22"/>
          <w:lang w:eastAsia="pt-BR"/>
        </w:rPr>
        <w:t xml:space="preserve">.  Em relação ao exercício </w:t>
      </w:r>
      <w:proofErr w:type="gramStart"/>
      <w:r w:rsidRPr="007678E7">
        <w:rPr>
          <w:rFonts w:ascii="Times New Roman" w:eastAsia="Times New Roman" w:hAnsi="Times New Roman"/>
          <w:sz w:val="22"/>
          <w:szCs w:val="22"/>
          <w:lang w:eastAsia="pt-BR"/>
        </w:rPr>
        <w:t xml:space="preserve">anterior, </w:t>
      </w:r>
      <w:r w:rsidR="00DC4098" w:rsidRPr="007678E7">
        <w:rPr>
          <w:rFonts w:ascii="Times New Roman" w:eastAsia="Times New Roman" w:hAnsi="Times New Roman"/>
          <w:sz w:val="22"/>
          <w:szCs w:val="22"/>
          <w:lang w:eastAsia="pt-BR"/>
        </w:rPr>
        <w:t xml:space="preserve"> não</w:t>
      </w:r>
      <w:proofErr w:type="gramEnd"/>
      <w:r w:rsidR="00DC4098" w:rsidRPr="007678E7">
        <w:rPr>
          <w:rFonts w:ascii="Times New Roman" w:eastAsia="Times New Roman" w:hAnsi="Times New Roman"/>
          <w:sz w:val="22"/>
          <w:szCs w:val="22"/>
          <w:lang w:eastAsia="pt-BR"/>
        </w:rPr>
        <w:t xml:space="preserve"> houve</w:t>
      </w:r>
      <w:r w:rsidRPr="007678E7">
        <w:rPr>
          <w:rFonts w:ascii="Times New Roman" w:eastAsia="Times New Roman" w:hAnsi="Times New Roman"/>
          <w:sz w:val="22"/>
          <w:szCs w:val="22"/>
          <w:lang w:eastAsia="pt-BR"/>
        </w:rPr>
        <w:t xml:space="preserve"> variação</w:t>
      </w:r>
      <w:r w:rsidR="00DC4098" w:rsidRPr="007678E7">
        <w:rPr>
          <w:rFonts w:ascii="Times New Roman" w:eastAsia="Times New Roman" w:hAnsi="Times New Roman"/>
          <w:sz w:val="22"/>
          <w:szCs w:val="22"/>
          <w:lang w:eastAsia="pt-BR"/>
        </w:rPr>
        <w:t>.</w:t>
      </w:r>
      <w:r w:rsidRPr="007678E7">
        <w:rPr>
          <w:rFonts w:ascii="Times New Roman" w:eastAsia="Times New Roman" w:hAnsi="Times New Roman"/>
          <w:sz w:val="22"/>
          <w:szCs w:val="22"/>
          <w:lang w:eastAsia="pt-BR"/>
        </w:rPr>
        <w:t>.</w:t>
      </w:r>
    </w:p>
    <w:p w:rsidR="00F91B7D" w:rsidRPr="007678E7" w:rsidRDefault="00F91B7D" w:rsidP="00F91B7D">
      <w:pPr>
        <w:spacing w:after="0"/>
        <w:rPr>
          <w:rFonts w:ascii="Times New Roman" w:eastAsia="Times New Roman" w:hAnsi="Times New Roman"/>
          <w:b/>
          <w:bCs/>
          <w:sz w:val="22"/>
          <w:szCs w:val="22"/>
          <w:lang w:eastAsia="pt-BR"/>
        </w:rPr>
      </w:pPr>
    </w:p>
    <w:p w:rsidR="000329C9" w:rsidRPr="007678E7" w:rsidRDefault="00F91B7D" w:rsidP="000329C9">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DC4098" w:rsidRPr="007678E7">
        <w:rPr>
          <w:rFonts w:ascii="Times New Roman" w:eastAsia="Times New Roman" w:hAnsi="Times New Roman"/>
          <w:b/>
          <w:bCs/>
          <w:sz w:val="22"/>
          <w:szCs w:val="22"/>
          <w:lang w:eastAsia="pt-BR"/>
        </w:rPr>
        <w:t>7</w:t>
      </w:r>
      <w:r w:rsidRPr="007678E7">
        <w:rPr>
          <w:rFonts w:ascii="Times New Roman" w:eastAsia="Times New Roman" w:hAnsi="Times New Roman"/>
          <w:b/>
          <w:bCs/>
          <w:sz w:val="22"/>
          <w:szCs w:val="22"/>
          <w:lang w:eastAsia="pt-BR"/>
        </w:rPr>
        <w:t xml:space="preserve"> – Imobilizado – Bens Móveis: </w:t>
      </w:r>
      <w:r w:rsidR="00DC4098" w:rsidRPr="007678E7">
        <w:rPr>
          <w:rFonts w:ascii="Times New Roman" w:eastAsia="Times New Roman" w:hAnsi="Times New Roman"/>
          <w:sz w:val="22"/>
          <w:szCs w:val="22"/>
          <w:lang w:eastAsia="pt-BR"/>
        </w:rPr>
        <w:t>o</w:t>
      </w:r>
      <w:r w:rsidRPr="007678E7">
        <w:rPr>
          <w:rFonts w:ascii="Times New Roman" w:eastAsia="Times New Roman" w:hAnsi="Times New Roman"/>
          <w:sz w:val="22"/>
          <w:szCs w:val="22"/>
          <w:lang w:eastAsia="pt-BR"/>
        </w:rPr>
        <w:t>s saldos</w:t>
      </w:r>
      <w:r w:rsidR="00DC4098" w:rsidRPr="007678E7">
        <w:rPr>
          <w:rFonts w:ascii="Times New Roman" w:eastAsia="Times New Roman" w:hAnsi="Times New Roman"/>
          <w:sz w:val="22"/>
          <w:szCs w:val="22"/>
          <w:lang w:eastAsia="pt-BR"/>
        </w:rPr>
        <w:t xml:space="preserve"> não foram atualizados pois não fo</w:t>
      </w:r>
      <w:r w:rsidR="000329C9" w:rsidRPr="007678E7">
        <w:rPr>
          <w:rFonts w:ascii="Times New Roman" w:eastAsia="Times New Roman" w:hAnsi="Times New Roman"/>
          <w:sz w:val="22"/>
          <w:szCs w:val="22"/>
          <w:lang w:eastAsia="pt-BR"/>
        </w:rPr>
        <w:t>ram efetuados os procedimentos de inventário</w:t>
      </w:r>
      <w:r w:rsidR="00DC4098" w:rsidRPr="007678E7">
        <w:rPr>
          <w:rFonts w:ascii="Times New Roman" w:eastAsia="Times New Roman" w:hAnsi="Times New Roman"/>
          <w:sz w:val="22"/>
          <w:szCs w:val="22"/>
          <w:lang w:eastAsia="pt-BR"/>
        </w:rPr>
        <w:t xml:space="preserve"> de bens </w:t>
      </w:r>
      <w:r w:rsidR="000329C9" w:rsidRPr="007678E7">
        <w:rPr>
          <w:rFonts w:ascii="Times New Roman" w:eastAsia="Times New Roman" w:hAnsi="Times New Roman"/>
          <w:sz w:val="22"/>
          <w:szCs w:val="22"/>
          <w:lang w:eastAsia="pt-BR"/>
        </w:rPr>
        <w:t xml:space="preserve">avaliação/reavaliação </w:t>
      </w:r>
      <w:r w:rsidR="00DC4098" w:rsidRPr="007678E7">
        <w:rPr>
          <w:rFonts w:ascii="Times New Roman" w:eastAsia="Times New Roman" w:hAnsi="Times New Roman"/>
          <w:sz w:val="22"/>
          <w:szCs w:val="22"/>
          <w:lang w:eastAsia="pt-BR"/>
        </w:rPr>
        <w:t xml:space="preserve">e </w:t>
      </w:r>
      <w:r w:rsidR="000329C9" w:rsidRPr="007678E7">
        <w:rPr>
          <w:rFonts w:ascii="Times New Roman" w:eastAsia="Times New Roman" w:hAnsi="Times New Roman"/>
          <w:sz w:val="22"/>
          <w:szCs w:val="22"/>
          <w:lang w:eastAsia="pt-BR"/>
        </w:rPr>
        <w:t xml:space="preserve">depreciações desta maneira </w:t>
      </w:r>
      <w:r w:rsidR="00DC4098" w:rsidRPr="007678E7">
        <w:rPr>
          <w:rFonts w:ascii="Times New Roman" w:eastAsia="Times New Roman" w:hAnsi="Times New Roman"/>
          <w:sz w:val="22"/>
          <w:szCs w:val="22"/>
          <w:lang w:eastAsia="pt-BR"/>
        </w:rPr>
        <w:t>não possuímos atualizaç</w:t>
      </w:r>
      <w:r w:rsidR="000329C9" w:rsidRPr="007678E7">
        <w:rPr>
          <w:rFonts w:ascii="Times New Roman" w:eastAsia="Times New Roman" w:hAnsi="Times New Roman"/>
          <w:sz w:val="22"/>
          <w:szCs w:val="22"/>
          <w:lang w:eastAsia="pt-BR"/>
        </w:rPr>
        <w:t>ões no imobilizado</w:t>
      </w:r>
      <w:r w:rsidR="009878FB" w:rsidRPr="007678E7">
        <w:rPr>
          <w:rFonts w:ascii="Times New Roman" w:eastAsia="Times New Roman" w:hAnsi="Times New Roman"/>
          <w:sz w:val="22"/>
          <w:szCs w:val="22"/>
          <w:lang w:eastAsia="pt-BR"/>
        </w:rPr>
        <w:t>, porém no decorrer do exercício foram nomeados os integrantes da comissão de avaliação e reavaliação patrimonial</w:t>
      </w:r>
      <w:r w:rsidR="000329C9" w:rsidRPr="007678E7">
        <w:rPr>
          <w:rFonts w:ascii="Times New Roman" w:eastAsia="Times New Roman" w:hAnsi="Times New Roman"/>
          <w:sz w:val="22"/>
          <w:szCs w:val="22"/>
          <w:lang w:eastAsia="pt-BR"/>
        </w:rPr>
        <w:t>.</w:t>
      </w:r>
    </w:p>
    <w:p w:rsidR="00F91B7D" w:rsidRPr="007678E7" w:rsidRDefault="000329C9" w:rsidP="000329C9">
      <w:pPr>
        <w:spacing w:after="0"/>
        <w:rPr>
          <w:rFonts w:ascii="Times New Roman" w:eastAsia="Times New Roman" w:hAnsi="Times New Roman"/>
          <w:b/>
          <w:bCs/>
          <w:sz w:val="22"/>
          <w:szCs w:val="22"/>
          <w:lang w:eastAsia="pt-BR"/>
        </w:rPr>
      </w:pPr>
      <w:r w:rsidRPr="007678E7">
        <w:rPr>
          <w:rFonts w:ascii="Times New Roman" w:eastAsia="Times New Roman" w:hAnsi="Times New Roman"/>
          <w:b/>
          <w:bCs/>
          <w:sz w:val="22"/>
          <w:szCs w:val="22"/>
          <w:lang w:eastAsia="pt-BR"/>
        </w:rPr>
        <w:t xml:space="preserve"> </w:t>
      </w: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0329C9" w:rsidRPr="007678E7">
        <w:rPr>
          <w:rFonts w:ascii="Times New Roman" w:eastAsia="Times New Roman" w:hAnsi="Times New Roman"/>
          <w:b/>
          <w:bCs/>
          <w:sz w:val="22"/>
          <w:szCs w:val="22"/>
          <w:lang w:eastAsia="pt-BR"/>
        </w:rPr>
        <w:t>8</w:t>
      </w:r>
      <w:r w:rsidRPr="007678E7">
        <w:rPr>
          <w:rFonts w:ascii="Times New Roman" w:eastAsia="Times New Roman" w:hAnsi="Times New Roman"/>
          <w:b/>
          <w:bCs/>
          <w:sz w:val="22"/>
          <w:szCs w:val="22"/>
          <w:lang w:eastAsia="pt-BR"/>
        </w:rPr>
        <w:t xml:space="preserve"> – Imobilizado – Bens Imóveis: </w:t>
      </w:r>
      <w:r w:rsidRPr="007678E7">
        <w:rPr>
          <w:rFonts w:ascii="Times New Roman" w:eastAsia="Times New Roman" w:hAnsi="Times New Roman"/>
          <w:sz w:val="22"/>
          <w:szCs w:val="22"/>
          <w:lang w:eastAsia="pt-BR"/>
        </w:rPr>
        <w:t>os saldos apresentados compreendem os</w:t>
      </w:r>
      <w:r w:rsidRPr="007678E7">
        <w:rPr>
          <w:rFonts w:ascii="Times New Roman" w:eastAsia="Times New Roman" w:hAnsi="Times New Roman"/>
          <w:b/>
          <w:bCs/>
          <w:sz w:val="22"/>
          <w:szCs w:val="22"/>
          <w:lang w:eastAsia="pt-BR"/>
        </w:rPr>
        <w:t xml:space="preserve"> </w:t>
      </w:r>
      <w:r w:rsidRPr="007678E7">
        <w:rPr>
          <w:rFonts w:ascii="Times New Roman" w:eastAsia="Times New Roman" w:hAnsi="Times New Roman"/>
          <w:sz w:val="22"/>
          <w:szCs w:val="22"/>
          <w:lang w:eastAsia="pt-BR"/>
        </w:rPr>
        <w:t xml:space="preserve">bens vinculados ao solo e que não podem ser retirados sem destruição ou dano, destinados ao uso. Visando espelhar a realidade patrimonial para elaboração do Balanço, em observância às normas vigentes, </w:t>
      </w:r>
      <w:r w:rsidR="000329C9" w:rsidRPr="007678E7">
        <w:rPr>
          <w:rFonts w:ascii="Times New Roman" w:eastAsia="Times New Roman" w:hAnsi="Times New Roman"/>
          <w:sz w:val="22"/>
          <w:szCs w:val="22"/>
          <w:lang w:eastAsia="pt-BR"/>
        </w:rPr>
        <w:t>durante o exercício de 201</w:t>
      </w:r>
      <w:r w:rsidR="002946F7">
        <w:rPr>
          <w:rFonts w:ascii="Times New Roman" w:eastAsia="Times New Roman" w:hAnsi="Times New Roman"/>
          <w:sz w:val="22"/>
          <w:szCs w:val="22"/>
          <w:lang w:eastAsia="pt-BR"/>
        </w:rPr>
        <w:t xml:space="preserve">9 </w:t>
      </w:r>
      <w:r w:rsidR="000329C9" w:rsidRPr="007678E7">
        <w:rPr>
          <w:rFonts w:ascii="Times New Roman" w:eastAsia="Times New Roman" w:hAnsi="Times New Roman"/>
          <w:sz w:val="22"/>
          <w:szCs w:val="22"/>
          <w:lang w:eastAsia="pt-BR"/>
        </w:rPr>
        <w:t xml:space="preserve">foram efetuados </w:t>
      </w:r>
      <w:r w:rsidRPr="007678E7">
        <w:rPr>
          <w:rFonts w:ascii="Times New Roman" w:eastAsia="Times New Roman" w:hAnsi="Times New Roman"/>
          <w:sz w:val="22"/>
          <w:szCs w:val="22"/>
          <w:lang w:eastAsia="pt-BR"/>
        </w:rPr>
        <w:t>os procedimentos de inventário</w:t>
      </w:r>
      <w:r w:rsidR="002946F7">
        <w:rPr>
          <w:rFonts w:ascii="Times New Roman" w:eastAsia="Times New Roman" w:hAnsi="Times New Roman"/>
          <w:sz w:val="22"/>
          <w:szCs w:val="22"/>
          <w:lang w:eastAsia="pt-BR"/>
        </w:rPr>
        <w:t xml:space="preserve"> ou seja o levantamento físico dos bens</w:t>
      </w:r>
      <w:r w:rsidRPr="007678E7">
        <w:rPr>
          <w:rFonts w:ascii="Times New Roman" w:eastAsia="Times New Roman" w:hAnsi="Times New Roman"/>
          <w:sz w:val="22"/>
          <w:szCs w:val="22"/>
          <w:lang w:eastAsia="pt-BR"/>
        </w:rPr>
        <w:t xml:space="preserve">, </w:t>
      </w:r>
      <w:r w:rsidR="002946F7">
        <w:rPr>
          <w:rFonts w:ascii="Times New Roman" w:eastAsia="Times New Roman" w:hAnsi="Times New Roman"/>
          <w:sz w:val="22"/>
          <w:szCs w:val="22"/>
          <w:lang w:eastAsia="pt-BR"/>
        </w:rPr>
        <w:t xml:space="preserve">porém, quanto </w:t>
      </w:r>
      <w:proofErr w:type="gramStart"/>
      <w:r w:rsidR="002946F7">
        <w:rPr>
          <w:rFonts w:ascii="Times New Roman" w:eastAsia="Times New Roman" w:hAnsi="Times New Roman"/>
          <w:sz w:val="22"/>
          <w:szCs w:val="22"/>
          <w:lang w:eastAsia="pt-BR"/>
        </w:rPr>
        <w:t xml:space="preserve">a  </w:t>
      </w:r>
      <w:r w:rsidRPr="007678E7">
        <w:rPr>
          <w:rFonts w:ascii="Times New Roman" w:eastAsia="Times New Roman" w:hAnsi="Times New Roman"/>
          <w:sz w:val="22"/>
          <w:szCs w:val="22"/>
          <w:lang w:eastAsia="pt-BR"/>
        </w:rPr>
        <w:t>avaliação</w:t>
      </w:r>
      <w:proofErr w:type="gramEnd"/>
      <w:r w:rsidRPr="007678E7">
        <w:rPr>
          <w:rFonts w:ascii="Times New Roman" w:eastAsia="Times New Roman" w:hAnsi="Times New Roman"/>
          <w:sz w:val="22"/>
          <w:szCs w:val="22"/>
          <w:lang w:eastAsia="pt-BR"/>
        </w:rPr>
        <w:t xml:space="preserve"> / reavaliação, depreciação e quando cabível, a amortização ou exaustão dos bens imóveis</w:t>
      </w:r>
      <w:r w:rsidR="002946F7">
        <w:rPr>
          <w:rFonts w:ascii="Times New Roman" w:eastAsia="Times New Roman" w:hAnsi="Times New Roman"/>
          <w:sz w:val="22"/>
          <w:szCs w:val="22"/>
          <w:lang w:eastAsia="pt-BR"/>
        </w:rPr>
        <w:t xml:space="preserve"> não foi realizado.</w:t>
      </w:r>
      <w:r w:rsidR="000329C9" w:rsidRPr="007678E7">
        <w:rPr>
          <w:rFonts w:ascii="Times New Roman" w:eastAsia="Times New Roman" w:hAnsi="Times New Roman"/>
          <w:sz w:val="22"/>
          <w:szCs w:val="22"/>
          <w:lang w:eastAsia="pt-BR"/>
        </w:rPr>
        <w:t xml:space="preserve">. </w:t>
      </w:r>
    </w:p>
    <w:p w:rsidR="00F91B7D" w:rsidRPr="007678E7" w:rsidRDefault="00F91B7D" w:rsidP="000329C9">
      <w:pPr>
        <w:spacing w:after="0"/>
        <w:ind w:firstLine="0"/>
        <w:rPr>
          <w:rFonts w:ascii="Times New Roman" w:eastAsia="Times New Roman" w:hAnsi="Times New Roman"/>
          <w:b/>
          <w:bCs/>
          <w:sz w:val="22"/>
          <w:szCs w:val="22"/>
          <w:lang w:eastAsia="pt-BR"/>
        </w:rPr>
      </w:pPr>
    </w:p>
    <w:p w:rsidR="00F91B7D" w:rsidRPr="007678E7" w:rsidRDefault="00F91B7D" w:rsidP="000329C9">
      <w:pPr>
        <w:snapToGrid w:val="0"/>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0329C9" w:rsidRPr="007678E7">
        <w:rPr>
          <w:rFonts w:ascii="Times New Roman" w:eastAsia="Times New Roman" w:hAnsi="Times New Roman"/>
          <w:b/>
          <w:bCs/>
          <w:sz w:val="22"/>
          <w:szCs w:val="22"/>
          <w:lang w:eastAsia="pt-BR"/>
        </w:rPr>
        <w:t>9</w:t>
      </w:r>
      <w:r w:rsidRPr="007678E7">
        <w:rPr>
          <w:rFonts w:ascii="Times New Roman" w:eastAsia="Times New Roman" w:hAnsi="Times New Roman"/>
          <w:b/>
          <w:bCs/>
          <w:sz w:val="22"/>
          <w:szCs w:val="22"/>
          <w:lang w:eastAsia="pt-BR"/>
        </w:rPr>
        <w:t xml:space="preserve"> – Ativo Intangível: </w:t>
      </w:r>
      <w:r w:rsidRPr="007678E7">
        <w:rPr>
          <w:rFonts w:ascii="Times New Roman" w:eastAsia="Times New Roman" w:hAnsi="Times New Roman"/>
          <w:sz w:val="22"/>
          <w:szCs w:val="22"/>
          <w:lang w:eastAsia="pt-BR"/>
        </w:rPr>
        <w:t xml:space="preserve">nos Bens Intangíveis estão compreendidos os direitos que tenham por objeto bens incorpóreos destinados à manutenção das ações de governo ou exercidos com essa finalidade. </w:t>
      </w:r>
    </w:p>
    <w:p w:rsidR="00F91B7D" w:rsidRPr="007678E7" w:rsidRDefault="00F91B7D" w:rsidP="009878FB">
      <w:pPr>
        <w:tabs>
          <w:tab w:val="left" w:pos="3780"/>
        </w:tabs>
        <w:spacing w:after="0"/>
        <w:ind w:firstLine="0"/>
        <w:rPr>
          <w:rFonts w:ascii="Times New Roman" w:eastAsia="Times New Roman" w:hAnsi="Times New Roman"/>
          <w:sz w:val="22"/>
          <w:szCs w:val="22"/>
          <w:lang w:eastAsia="pt-BR"/>
        </w:rPr>
      </w:pPr>
    </w:p>
    <w:p w:rsidR="00F91B7D" w:rsidRPr="002946F7" w:rsidRDefault="00F91B7D" w:rsidP="009878FB">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lastRenderedPageBreak/>
        <w:t xml:space="preserve"> Nota 1</w:t>
      </w:r>
      <w:r w:rsidR="009878FB" w:rsidRPr="007678E7">
        <w:rPr>
          <w:rFonts w:ascii="Times New Roman" w:eastAsia="Times New Roman" w:hAnsi="Times New Roman"/>
          <w:b/>
          <w:bCs/>
          <w:sz w:val="22"/>
          <w:szCs w:val="22"/>
          <w:lang w:eastAsia="pt-BR"/>
        </w:rPr>
        <w:t>0</w:t>
      </w:r>
      <w:r w:rsidRPr="007678E7">
        <w:rPr>
          <w:rFonts w:ascii="Times New Roman" w:eastAsia="Times New Roman" w:hAnsi="Times New Roman"/>
          <w:b/>
          <w:bCs/>
          <w:sz w:val="22"/>
          <w:szCs w:val="22"/>
          <w:lang w:eastAsia="pt-BR"/>
        </w:rPr>
        <w:t xml:space="preserve"> - Empréstimos e Financiamentos a Curto Prazo e Longo Prazo: </w:t>
      </w:r>
      <w:proofErr w:type="gramStart"/>
      <w:r w:rsidR="009878FB" w:rsidRPr="007678E7">
        <w:rPr>
          <w:rFonts w:ascii="Times New Roman" w:eastAsia="Times New Roman" w:hAnsi="Times New Roman"/>
          <w:b/>
          <w:bCs/>
          <w:sz w:val="22"/>
          <w:szCs w:val="22"/>
          <w:lang w:eastAsia="pt-BR"/>
        </w:rPr>
        <w:t xml:space="preserve"> </w:t>
      </w:r>
      <w:r w:rsidR="002946F7">
        <w:rPr>
          <w:rFonts w:ascii="Times New Roman" w:eastAsia="Times New Roman" w:hAnsi="Times New Roman"/>
          <w:bCs/>
          <w:sz w:val="22"/>
          <w:szCs w:val="22"/>
          <w:lang w:eastAsia="pt-BR"/>
        </w:rPr>
        <w:t>Houve</w:t>
      </w:r>
      <w:proofErr w:type="gramEnd"/>
      <w:r w:rsidR="002946F7">
        <w:rPr>
          <w:rFonts w:ascii="Times New Roman" w:eastAsia="Times New Roman" w:hAnsi="Times New Roman"/>
          <w:bCs/>
          <w:sz w:val="22"/>
          <w:szCs w:val="22"/>
          <w:lang w:eastAsia="pt-BR"/>
        </w:rPr>
        <w:t xml:space="preserve"> o ingresso durante o exercício de 2019 do valor de R$ 430.873,89 referente a operação de crédito contratada junto ao BADESUL no exercício de 2018.</w:t>
      </w:r>
    </w:p>
    <w:p w:rsidR="009878FB" w:rsidRPr="002946F7" w:rsidRDefault="009878FB" w:rsidP="009878FB">
      <w:pPr>
        <w:spacing w:after="0"/>
        <w:rPr>
          <w:rFonts w:ascii="Times New Roman" w:eastAsia="Times New Roman" w:hAnsi="Times New Roman"/>
          <w:sz w:val="22"/>
          <w:szCs w:val="22"/>
          <w:lang w:eastAsia="pt-BR"/>
        </w:rPr>
      </w:pPr>
    </w:p>
    <w:p w:rsidR="00F91B7D" w:rsidRPr="007678E7" w:rsidRDefault="00F91B7D" w:rsidP="00F91B7D">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Nota 1</w:t>
      </w:r>
      <w:r w:rsidR="009878FB" w:rsidRPr="007678E7">
        <w:rPr>
          <w:rFonts w:ascii="Times New Roman" w:eastAsia="Times New Roman" w:hAnsi="Times New Roman"/>
          <w:b/>
          <w:bCs/>
          <w:sz w:val="22"/>
          <w:szCs w:val="22"/>
          <w:lang w:eastAsia="pt-BR"/>
        </w:rPr>
        <w:t>1</w:t>
      </w:r>
      <w:r w:rsidRPr="007678E7">
        <w:rPr>
          <w:rFonts w:ascii="Times New Roman" w:eastAsia="Times New Roman" w:hAnsi="Times New Roman"/>
          <w:b/>
          <w:bCs/>
          <w:sz w:val="22"/>
          <w:szCs w:val="22"/>
          <w:lang w:eastAsia="pt-BR"/>
        </w:rPr>
        <w:t xml:space="preserve"> – Fornecedores e Contas a Pagar a Curto e a Longo Prazo:  </w:t>
      </w:r>
      <w:r w:rsidRPr="007678E7">
        <w:rPr>
          <w:rFonts w:ascii="Times New Roman" w:eastAsia="Times New Roman" w:hAnsi="Times New Roman"/>
          <w:sz w:val="22"/>
          <w:szCs w:val="22"/>
          <w:lang w:eastAsia="pt-BR"/>
        </w:rPr>
        <w:t xml:space="preserve">os valores registrados nesses títulos são decorrentes de obrigações junto a fornecedores de matérias-primas, mercadorias e outros materiais utilizados nas atividades operacionais dos órgãos e entidades da administração direta e indireta. Compreende também obrigações decorrentes do fornecimento de utilidades e da prestação de serviços, tais como de energia elétrica, água, telefone, propaganda, aluguéis e todas as outras contas a pagar, inclusive, os precatórios decorrentes dessas obrigações, e os valores inscritos em restos a pagar processados.  Os saldos apresentados compreendem os valores empenhados e liquidados e também aqueles que, embora não empenhados, foram reconhecidos pelo regime de competência. Em síntese, verifica-se que os valores registrados a curto prazo </w:t>
      </w:r>
      <w:proofErr w:type="gramStart"/>
      <w:r w:rsidRPr="007678E7">
        <w:rPr>
          <w:rFonts w:ascii="Times New Roman" w:eastAsia="Times New Roman" w:hAnsi="Times New Roman"/>
          <w:sz w:val="22"/>
          <w:szCs w:val="22"/>
          <w:lang w:eastAsia="pt-BR"/>
        </w:rPr>
        <w:t>totalizaram  R</w:t>
      </w:r>
      <w:proofErr w:type="gramEnd"/>
      <w:r w:rsidRPr="007678E7">
        <w:rPr>
          <w:rFonts w:ascii="Times New Roman" w:eastAsia="Times New Roman" w:hAnsi="Times New Roman"/>
          <w:sz w:val="22"/>
          <w:szCs w:val="22"/>
          <w:lang w:eastAsia="pt-BR"/>
        </w:rPr>
        <w:t xml:space="preserve">$ </w:t>
      </w:r>
      <w:r w:rsidR="002946F7">
        <w:rPr>
          <w:rFonts w:ascii="Times New Roman" w:eastAsia="Times New Roman" w:hAnsi="Times New Roman"/>
          <w:sz w:val="22"/>
          <w:szCs w:val="22"/>
          <w:lang w:eastAsia="pt-BR"/>
        </w:rPr>
        <w:t>1.015.935,55, representando uma diminuição</w:t>
      </w:r>
      <w:r w:rsidRPr="007678E7">
        <w:rPr>
          <w:rFonts w:ascii="Times New Roman" w:eastAsia="Times New Roman" w:hAnsi="Times New Roman"/>
          <w:sz w:val="22"/>
          <w:szCs w:val="22"/>
          <w:lang w:eastAsia="pt-BR"/>
        </w:rPr>
        <w:t xml:space="preserve"> em relação ao ano anterior.  Já os valores contabilizados no longo prazo </w:t>
      </w:r>
      <w:proofErr w:type="gramStart"/>
      <w:r w:rsidRPr="007678E7">
        <w:rPr>
          <w:rFonts w:ascii="Times New Roman" w:eastAsia="Times New Roman" w:hAnsi="Times New Roman"/>
          <w:sz w:val="22"/>
          <w:szCs w:val="22"/>
          <w:lang w:eastAsia="pt-BR"/>
        </w:rPr>
        <w:t>somaram  R</w:t>
      </w:r>
      <w:proofErr w:type="gramEnd"/>
      <w:r w:rsidRPr="007678E7">
        <w:rPr>
          <w:rFonts w:ascii="Times New Roman" w:eastAsia="Times New Roman" w:hAnsi="Times New Roman"/>
          <w:sz w:val="22"/>
          <w:szCs w:val="22"/>
          <w:lang w:eastAsia="pt-BR"/>
        </w:rPr>
        <w:t xml:space="preserve">$  </w:t>
      </w:r>
      <w:r w:rsidR="002D086A" w:rsidRPr="007678E7">
        <w:rPr>
          <w:rFonts w:ascii="Times New Roman" w:eastAsia="Times New Roman" w:hAnsi="Times New Roman"/>
          <w:sz w:val="22"/>
          <w:szCs w:val="22"/>
          <w:lang w:eastAsia="pt-BR"/>
        </w:rPr>
        <w:t>0,00</w:t>
      </w:r>
      <w:r w:rsidRPr="007678E7">
        <w:rPr>
          <w:rFonts w:ascii="Times New Roman" w:eastAsia="Times New Roman" w:hAnsi="Times New Roman"/>
          <w:sz w:val="22"/>
          <w:szCs w:val="22"/>
          <w:lang w:eastAsia="pt-BR"/>
        </w:rPr>
        <w:t>.</w:t>
      </w:r>
    </w:p>
    <w:p w:rsidR="008D7943" w:rsidRPr="007678E7" w:rsidRDefault="008D7943" w:rsidP="0033776E">
      <w:pPr>
        <w:spacing w:after="0"/>
        <w:ind w:firstLine="0"/>
        <w:rPr>
          <w:rFonts w:ascii="Times New Roman" w:eastAsia="Times New Roman" w:hAnsi="Times New Roman"/>
          <w:b/>
          <w:bCs/>
          <w:sz w:val="22"/>
          <w:szCs w:val="22"/>
          <w:lang w:eastAsia="pt-BR"/>
        </w:rPr>
      </w:pPr>
    </w:p>
    <w:p w:rsidR="008D7943" w:rsidRPr="007678E7" w:rsidRDefault="00F91B7D" w:rsidP="00746CFC">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Nota 1</w:t>
      </w:r>
      <w:r w:rsidR="0033776E" w:rsidRPr="007678E7">
        <w:rPr>
          <w:rFonts w:ascii="Times New Roman" w:eastAsia="Times New Roman" w:hAnsi="Times New Roman"/>
          <w:b/>
          <w:bCs/>
          <w:sz w:val="22"/>
          <w:szCs w:val="22"/>
          <w:lang w:eastAsia="pt-BR"/>
        </w:rPr>
        <w:t>2</w:t>
      </w:r>
      <w:r w:rsidRPr="007678E7">
        <w:rPr>
          <w:rFonts w:ascii="Times New Roman" w:eastAsia="Times New Roman" w:hAnsi="Times New Roman"/>
          <w:b/>
          <w:bCs/>
          <w:sz w:val="22"/>
          <w:szCs w:val="22"/>
          <w:lang w:eastAsia="pt-BR"/>
        </w:rPr>
        <w:t xml:space="preserve"> – Dívida Flutuante: </w:t>
      </w:r>
      <w:r w:rsidRPr="007678E7">
        <w:rPr>
          <w:rFonts w:ascii="Times New Roman" w:eastAsia="Times New Roman" w:hAnsi="Times New Roman"/>
          <w:sz w:val="22"/>
          <w:szCs w:val="22"/>
          <w:lang w:eastAsia="pt-BR"/>
        </w:rPr>
        <w:t>conforme o art. 92 da Lei Federal nº 4.320/64, os componentes da dívida flutuante são aqueles compromissos contraídos por período limitado de tempo (curto prazo), quer na sua condição de valores de terceiros, quer para atender às necessidades de caixa momentâneas, realizadas independentemente de autorização orçamentária, bem como os valores dos restos a pagar. A Dívida Flutuante de 201</w:t>
      </w:r>
      <w:r w:rsidR="001541FA">
        <w:rPr>
          <w:rFonts w:ascii="Times New Roman" w:eastAsia="Times New Roman" w:hAnsi="Times New Roman"/>
          <w:sz w:val="22"/>
          <w:szCs w:val="22"/>
          <w:lang w:eastAsia="pt-BR"/>
        </w:rPr>
        <w:t>9</w:t>
      </w:r>
      <w:r w:rsidRPr="007678E7">
        <w:rPr>
          <w:rFonts w:ascii="Times New Roman" w:eastAsia="Times New Roman" w:hAnsi="Times New Roman"/>
          <w:sz w:val="22"/>
          <w:szCs w:val="22"/>
          <w:lang w:eastAsia="pt-BR"/>
        </w:rPr>
        <w:t xml:space="preserve"> totalizou em R$ </w:t>
      </w:r>
      <w:r w:rsidR="001541FA">
        <w:rPr>
          <w:rFonts w:ascii="Times New Roman" w:eastAsia="Times New Roman" w:hAnsi="Times New Roman"/>
          <w:sz w:val="22"/>
          <w:szCs w:val="22"/>
          <w:lang w:eastAsia="pt-BR"/>
        </w:rPr>
        <w:t>1.015.935,55</w:t>
      </w:r>
      <w:bookmarkStart w:id="1" w:name="_GoBack"/>
      <w:bookmarkEnd w:id="1"/>
      <w:r w:rsidRPr="007678E7">
        <w:rPr>
          <w:rFonts w:ascii="Times New Roman" w:eastAsia="Times New Roman" w:hAnsi="Times New Roman"/>
          <w:sz w:val="22"/>
          <w:szCs w:val="22"/>
          <w:lang w:eastAsia="pt-BR"/>
        </w:rPr>
        <w:t xml:space="preserve">, correspondendo, na ótica da Lei Federal nº 4.320/64 ao Passivo Financeiro. </w:t>
      </w:r>
    </w:p>
    <w:p w:rsidR="00F91B7D" w:rsidRPr="007678E7" w:rsidRDefault="00F91B7D" w:rsidP="00F91B7D">
      <w:pPr>
        <w:spacing w:after="0"/>
        <w:rPr>
          <w:rFonts w:ascii="Times New Roman" w:eastAsia="Times New Roman" w:hAnsi="Times New Roman"/>
          <w:b/>
          <w:bCs/>
          <w:sz w:val="22"/>
          <w:szCs w:val="22"/>
          <w:lang w:eastAsia="pt-BR"/>
        </w:rPr>
      </w:pPr>
    </w:p>
    <w:p w:rsidR="00F91B7D" w:rsidRPr="007678E7" w:rsidRDefault="00F91B7D" w:rsidP="00D97394">
      <w:pPr>
        <w:spacing w:after="0"/>
        <w:rPr>
          <w:rFonts w:ascii="Times New Roman" w:eastAsia="Times New Roman" w:hAnsi="Times New Roman"/>
          <w:sz w:val="22"/>
          <w:szCs w:val="22"/>
          <w:lang w:eastAsia="pt-BR"/>
        </w:rPr>
      </w:pPr>
      <w:r w:rsidRPr="007678E7">
        <w:rPr>
          <w:rFonts w:ascii="Times New Roman" w:eastAsia="Times New Roman" w:hAnsi="Times New Roman"/>
          <w:b/>
          <w:bCs/>
          <w:sz w:val="22"/>
          <w:szCs w:val="22"/>
          <w:lang w:eastAsia="pt-BR"/>
        </w:rPr>
        <w:t xml:space="preserve">Nota </w:t>
      </w:r>
      <w:r w:rsidR="00D97394" w:rsidRPr="007678E7">
        <w:rPr>
          <w:rFonts w:ascii="Times New Roman" w:eastAsia="Times New Roman" w:hAnsi="Times New Roman"/>
          <w:b/>
          <w:bCs/>
          <w:sz w:val="22"/>
          <w:szCs w:val="22"/>
          <w:lang w:eastAsia="pt-BR"/>
        </w:rPr>
        <w:t>1</w:t>
      </w:r>
      <w:r w:rsidR="00746CFC" w:rsidRPr="007678E7">
        <w:rPr>
          <w:rFonts w:ascii="Times New Roman" w:eastAsia="Times New Roman" w:hAnsi="Times New Roman"/>
          <w:b/>
          <w:bCs/>
          <w:sz w:val="22"/>
          <w:szCs w:val="22"/>
          <w:lang w:eastAsia="pt-BR"/>
        </w:rPr>
        <w:t>3</w:t>
      </w:r>
      <w:r w:rsidRPr="007678E7">
        <w:rPr>
          <w:rFonts w:ascii="Times New Roman" w:eastAsia="Times New Roman" w:hAnsi="Times New Roman"/>
          <w:b/>
          <w:bCs/>
          <w:sz w:val="22"/>
          <w:szCs w:val="22"/>
          <w:lang w:eastAsia="pt-BR"/>
        </w:rPr>
        <w:t xml:space="preserve"> – Ajustes de Exercício Anteriores:</w:t>
      </w:r>
      <w:r w:rsidRPr="007678E7">
        <w:rPr>
          <w:rFonts w:ascii="Times New Roman" w:eastAsia="Times New Roman" w:hAnsi="Times New Roman"/>
          <w:sz w:val="22"/>
          <w:szCs w:val="22"/>
          <w:lang w:eastAsia="pt-BR"/>
        </w:rPr>
        <w:t xml:space="preserve"> de acordo com o MCASP, os ajustes de exercícios anteriores são relacionados com registros decorrentes de efeitos da mudança de critério contábil, omissão de </w:t>
      </w:r>
      <w:proofErr w:type="gramStart"/>
      <w:r w:rsidRPr="007678E7">
        <w:rPr>
          <w:rFonts w:ascii="Times New Roman" w:eastAsia="Times New Roman" w:hAnsi="Times New Roman"/>
          <w:sz w:val="22"/>
          <w:szCs w:val="22"/>
          <w:lang w:eastAsia="pt-BR"/>
        </w:rPr>
        <w:t>registro,  ou</w:t>
      </w:r>
      <w:proofErr w:type="gramEnd"/>
      <w:r w:rsidRPr="007678E7">
        <w:rPr>
          <w:rFonts w:ascii="Times New Roman" w:eastAsia="Times New Roman" w:hAnsi="Times New Roman"/>
          <w:sz w:val="22"/>
          <w:szCs w:val="22"/>
          <w:lang w:eastAsia="pt-BR"/>
        </w:rPr>
        <w:t xml:space="preserve"> retificação de erro imputável a determinado exercício anterior, e que não possam ser atribuídos a fatos subsequentes. </w:t>
      </w:r>
    </w:p>
    <w:sectPr w:rsidR="00F91B7D" w:rsidRPr="007678E7">
      <w:pgSz w:w="11907" w:h="16840" w:code="9"/>
      <w:pgMar w:top="851" w:right="1134"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C5D"/>
    <w:rsid w:val="000329C9"/>
    <w:rsid w:val="001541FA"/>
    <w:rsid w:val="00253E41"/>
    <w:rsid w:val="002675FB"/>
    <w:rsid w:val="002946F7"/>
    <w:rsid w:val="002D086A"/>
    <w:rsid w:val="0033776E"/>
    <w:rsid w:val="00400076"/>
    <w:rsid w:val="00411653"/>
    <w:rsid w:val="006E4256"/>
    <w:rsid w:val="00746CFC"/>
    <w:rsid w:val="007678E7"/>
    <w:rsid w:val="008C1782"/>
    <w:rsid w:val="008D7943"/>
    <w:rsid w:val="009878FB"/>
    <w:rsid w:val="009E2FB7"/>
    <w:rsid w:val="00A55F9C"/>
    <w:rsid w:val="00A76B61"/>
    <w:rsid w:val="00AD6C49"/>
    <w:rsid w:val="00AE4C5D"/>
    <w:rsid w:val="00D97394"/>
    <w:rsid w:val="00DC3D46"/>
    <w:rsid w:val="00DC4098"/>
    <w:rsid w:val="00F91B7D"/>
    <w:rsid w:val="00FB4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54521"/>
  <w15:chartTrackingRefBased/>
  <w15:docId w15:val="{0E9CF194-DB99-414B-B9D6-318D5285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B7D"/>
    <w:pPr>
      <w:spacing w:after="160"/>
      <w:ind w:firstLine="567"/>
      <w:jc w:val="both"/>
    </w:pPr>
    <w:rPr>
      <w:rFonts w:ascii="Calibri" w:eastAsia="Calibri" w:hAnsi="Calibri"/>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F91B7D"/>
    <w:pPr>
      <w:spacing w:after="60"/>
      <w:outlineLvl w:val="1"/>
    </w:pPr>
    <w:rPr>
      <w:rFonts w:eastAsia="Times New Roman"/>
      <w:b/>
    </w:rPr>
  </w:style>
  <w:style w:type="character" w:customStyle="1" w:styleId="SubttuloChar">
    <w:name w:val="Subtítulo Char"/>
    <w:link w:val="Subttulo"/>
    <w:rsid w:val="00F91B7D"/>
    <w:rPr>
      <w:rFonts w:ascii="Calibri" w:hAnsi="Calibri"/>
      <w:b/>
      <w:sz w:val="24"/>
      <w:szCs w:val="24"/>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80243">
      <w:bodyDiv w:val="1"/>
      <w:marLeft w:val="0"/>
      <w:marRight w:val="0"/>
      <w:marTop w:val="0"/>
      <w:marBottom w:val="0"/>
      <w:divBdr>
        <w:top w:val="none" w:sz="0" w:space="0" w:color="auto"/>
        <w:left w:val="none" w:sz="0" w:space="0" w:color="auto"/>
        <w:bottom w:val="none" w:sz="0" w:space="0" w:color="auto"/>
        <w:right w:val="none" w:sz="0" w:space="0" w:color="auto"/>
      </w:divBdr>
    </w:div>
    <w:div w:id="778722994">
      <w:bodyDiv w:val="1"/>
      <w:marLeft w:val="0"/>
      <w:marRight w:val="0"/>
      <w:marTop w:val="0"/>
      <w:marBottom w:val="0"/>
      <w:divBdr>
        <w:top w:val="none" w:sz="0" w:space="0" w:color="auto"/>
        <w:left w:val="none" w:sz="0" w:space="0" w:color="auto"/>
        <w:bottom w:val="none" w:sz="0" w:space="0" w:color="auto"/>
        <w:right w:val="none" w:sz="0" w:space="0" w:color="auto"/>
      </w:divBdr>
    </w:div>
    <w:div w:id="14083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829</Words>
  <Characters>4478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INTERNACIONAL  VS    FIGUEIRENSE</vt:lpstr>
    </vt:vector>
  </TitlesOfParts>
  <Company>Default</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INTERNACIONAL  VS    FIGUEIRENSE</dc:title>
  <dc:subject/>
  <dc:creator>Default</dc:creator>
  <cp:keywords/>
  <cp:lastModifiedBy>Usuário</cp:lastModifiedBy>
  <cp:revision>12</cp:revision>
  <dcterms:created xsi:type="dcterms:W3CDTF">2018-01-26T12:44:00Z</dcterms:created>
  <dcterms:modified xsi:type="dcterms:W3CDTF">2020-01-30T20:26:00Z</dcterms:modified>
</cp:coreProperties>
</file>