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BA2" w:rsidRPr="00EF792C" w:rsidRDefault="00370BA2" w:rsidP="00370BA2">
      <w:pPr>
        <w:tabs>
          <w:tab w:val="left" w:pos="945"/>
        </w:tabs>
        <w:spacing w:after="120"/>
        <w:ind w:firstLine="0"/>
        <w:jc w:val="center"/>
        <w:rPr>
          <w:rFonts w:ascii="Times New Roman" w:eastAsia="Times New Roman" w:hAnsi="Times New Roman"/>
          <w:b/>
          <w:sz w:val="22"/>
          <w:szCs w:val="22"/>
          <w:lang w:eastAsia="pt-BR"/>
        </w:rPr>
      </w:pPr>
      <w:r w:rsidRPr="00EF792C">
        <w:rPr>
          <w:rFonts w:ascii="Times New Roman" w:eastAsia="Times New Roman" w:hAnsi="Times New Roman"/>
          <w:b/>
          <w:sz w:val="22"/>
          <w:szCs w:val="22"/>
          <w:lang w:eastAsia="pt-BR"/>
        </w:rPr>
        <w:t>Município de</w:t>
      </w:r>
      <w:r w:rsidR="00050CBA" w:rsidRPr="00EF792C">
        <w:rPr>
          <w:rFonts w:ascii="Times New Roman" w:eastAsia="Times New Roman" w:hAnsi="Times New Roman"/>
          <w:b/>
          <w:sz w:val="22"/>
          <w:szCs w:val="22"/>
          <w:lang w:eastAsia="pt-BR"/>
        </w:rPr>
        <w:t xml:space="preserve"> CAIBATÉ- RS</w:t>
      </w:r>
    </w:p>
    <w:p w:rsidR="00370BA2" w:rsidRPr="00EF792C" w:rsidRDefault="00370BA2" w:rsidP="00370BA2">
      <w:pPr>
        <w:spacing w:after="120"/>
        <w:ind w:firstLine="0"/>
        <w:rPr>
          <w:rFonts w:ascii="Times New Roman" w:eastAsia="Times New Roman" w:hAnsi="Times New Roman"/>
          <w:b/>
          <w:sz w:val="22"/>
          <w:szCs w:val="22"/>
          <w:lang w:eastAsia="pt-BR"/>
        </w:rPr>
      </w:pPr>
    </w:p>
    <w:p w:rsidR="00370BA2" w:rsidRPr="00EF792C" w:rsidRDefault="00370BA2" w:rsidP="00370BA2">
      <w:pPr>
        <w:pStyle w:val="Subttulo"/>
        <w:spacing w:after="120"/>
        <w:jc w:val="center"/>
        <w:rPr>
          <w:rFonts w:ascii="Times New Roman" w:hAnsi="Times New Roman"/>
          <w:sz w:val="22"/>
          <w:szCs w:val="22"/>
          <w:lang w:eastAsia="pt-BR"/>
        </w:rPr>
      </w:pPr>
      <w:bookmarkStart w:id="0" w:name="_Toc497473728"/>
      <w:r w:rsidRPr="00EF792C">
        <w:rPr>
          <w:rFonts w:ascii="Times New Roman" w:hAnsi="Times New Roman"/>
          <w:sz w:val="22"/>
          <w:szCs w:val="22"/>
          <w:lang w:eastAsia="pt-BR"/>
        </w:rPr>
        <w:t>Notas Explicativas da Demonstração das Variações Patrimoniais</w:t>
      </w:r>
      <w:bookmarkEnd w:id="0"/>
    </w:p>
    <w:p w:rsidR="00EF792C" w:rsidRPr="00EF792C" w:rsidRDefault="00EF792C" w:rsidP="00EF792C">
      <w:pPr>
        <w:spacing w:after="120"/>
        <w:ind w:firstLine="0"/>
        <w:jc w:val="center"/>
        <w:rPr>
          <w:rFonts w:ascii="Times New Roman" w:eastAsia="Times New Roman" w:hAnsi="Times New Roman"/>
          <w:b/>
          <w:sz w:val="22"/>
          <w:szCs w:val="22"/>
          <w:lang w:eastAsia="pt-BR"/>
        </w:rPr>
      </w:pPr>
      <w:r w:rsidRPr="00EF792C">
        <w:rPr>
          <w:rFonts w:ascii="Times New Roman" w:eastAsia="Times New Roman" w:hAnsi="Times New Roman"/>
          <w:b/>
          <w:sz w:val="22"/>
          <w:szCs w:val="22"/>
          <w:lang w:eastAsia="pt-BR"/>
        </w:rPr>
        <w:t>Exercício de:201</w:t>
      </w:r>
      <w:r w:rsidR="003B3F9E">
        <w:rPr>
          <w:rFonts w:ascii="Times New Roman" w:eastAsia="Times New Roman" w:hAnsi="Times New Roman"/>
          <w:b/>
          <w:sz w:val="22"/>
          <w:szCs w:val="22"/>
          <w:lang w:eastAsia="pt-BR"/>
        </w:rPr>
        <w:t>9</w:t>
      </w:r>
    </w:p>
    <w:p w:rsidR="00370BA2" w:rsidRPr="00EF792C" w:rsidRDefault="00370BA2" w:rsidP="00370BA2">
      <w:pPr>
        <w:spacing w:after="120"/>
        <w:ind w:firstLine="0"/>
        <w:rPr>
          <w:rFonts w:ascii="Times New Roman" w:eastAsia="Times New Roman" w:hAnsi="Times New Roman"/>
          <w:b/>
          <w:bCs/>
          <w:sz w:val="22"/>
          <w:szCs w:val="22"/>
          <w:lang w:eastAsia="pt-BR"/>
        </w:rPr>
      </w:pPr>
    </w:p>
    <w:p w:rsidR="00370BA2" w:rsidRPr="00EF792C" w:rsidRDefault="00370BA2" w:rsidP="00370BA2">
      <w:pPr>
        <w:spacing w:after="0"/>
        <w:rPr>
          <w:rFonts w:ascii="Times New Roman" w:eastAsia="Times New Roman" w:hAnsi="Times New Roman"/>
          <w:sz w:val="22"/>
          <w:szCs w:val="22"/>
          <w:lang w:eastAsia="pt-BR"/>
        </w:rPr>
      </w:pPr>
      <w:r w:rsidRPr="00EF792C">
        <w:rPr>
          <w:rFonts w:ascii="Times New Roman" w:eastAsia="Times New Roman" w:hAnsi="Times New Roman"/>
          <w:b/>
          <w:bCs/>
          <w:sz w:val="22"/>
          <w:szCs w:val="22"/>
          <w:lang w:eastAsia="pt-BR"/>
        </w:rPr>
        <w:t>Nota 1 –   Valorização e Ganhos com Ativos e Desincorporação de Passivos</w:t>
      </w:r>
      <w:r w:rsidRPr="00EF792C">
        <w:rPr>
          <w:rFonts w:ascii="Times New Roman" w:eastAsia="Times New Roman" w:hAnsi="Times New Roman"/>
          <w:sz w:val="22"/>
          <w:szCs w:val="22"/>
          <w:lang w:eastAsia="pt-BR"/>
        </w:rPr>
        <w:t xml:space="preserve">:  em relação a esse item cabe destacar que, em razão do processo de convergência aos padrões de contabilidade estabelecido pelas NBCASP, e de acordo com o MCASP, foram efetuados vários ajustes para a adoção do valor de mercado para bens do ativo. </w:t>
      </w:r>
    </w:p>
    <w:tbl>
      <w:tblPr>
        <w:tblW w:w="8930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3"/>
        <w:gridCol w:w="1417"/>
      </w:tblGrid>
      <w:tr w:rsidR="00370BA2" w:rsidRPr="00EF792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BA2" w:rsidRPr="00EF792C" w:rsidRDefault="00370BA2" w:rsidP="00370BA2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zh-CN"/>
              </w:rPr>
            </w:pPr>
            <w:r w:rsidRPr="00EF792C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zh-CN"/>
              </w:rPr>
              <w:t>Item / Subitem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0BA2" w:rsidRPr="00EF792C" w:rsidRDefault="00370BA2" w:rsidP="00370BA2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zh-CN"/>
              </w:rPr>
            </w:pPr>
            <w:r w:rsidRPr="00EF792C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zh-CN"/>
              </w:rPr>
              <w:t xml:space="preserve">Valor R$ </w:t>
            </w:r>
          </w:p>
        </w:tc>
      </w:tr>
      <w:tr w:rsidR="00370BA2" w:rsidRPr="00EF792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BA2" w:rsidRPr="00EF792C" w:rsidRDefault="00370BA2" w:rsidP="00370BA2">
            <w:pPr>
              <w:spacing w:after="0"/>
              <w:ind w:firstLine="0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EF792C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4.6.1.1.0.00 - REAVALIAÇÃO DE IMOBILIZADO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0BA2" w:rsidRPr="00EF792C" w:rsidRDefault="00370BA2" w:rsidP="00370BA2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370BA2" w:rsidRPr="00EF792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BA2" w:rsidRPr="00EF792C" w:rsidRDefault="00370BA2" w:rsidP="00370BA2">
            <w:pPr>
              <w:spacing w:after="0"/>
              <w:ind w:firstLine="0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EF792C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4.6.1.2.0.00 - REAVALIAÇÃO DE INTANGÍVEIS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0BA2" w:rsidRPr="00EF792C" w:rsidRDefault="00370BA2" w:rsidP="00370BA2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370BA2" w:rsidRPr="00EF792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BA2" w:rsidRPr="00EF792C" w:rsidRDefault="00370BA2" w:rsidP="00370BA2">
            <w:pPr>
              <w:spacing w:after="0"/>
              <w:ind w:firstLine="0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EF792C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4.6.1.9.0.00 - REAVALIAÇÃO DE OUTROS ATIVOS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0BA2" w:rsidRPr="00EF792C" w:rsidRDefault="00370BA2" w:rsidP="00370BA2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370BA2" w:rsidRPr="00EF792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BA2" w:rsidRPr="00EF792C" w:rsidRDefault="00370BA2" w:rsidP="00370BA2">
            <w:pPr>
              <w:spacing w:after="0"/>
              <w:ind w:firstLine="0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EF792C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4.6.2.1.0.00 - GANHOS COM ALIENAÇÃO DE INVESTIMENTOS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0BA2" w:rsidRPr="00EF792C" w:rsidRDefault="00370BA2" w:rsidP="00370BA2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370BA2" w:rsidRPr="00EF792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BA2" w:rsidRPr="00EF792C" w:rsidRDefault="00370BA2" w:rsidP="00370BA2">
            <w:pPr>
              <w:spacing w:after="0"/>
              <w:ind w:firstLine="0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EF792C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4.6.2.2.0.00 - GANHOS COM ALIENAÇÃO DE IMOBILIZADO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0BA2" w:rsidRPr="00EF792C" w:rsidRDefault="003B3F9E" w:rsidP="00370BA2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zh-CN"/>
              </w:rPr>
              <w:t>244.326,56</w:t>
            </w:r>
          </w:p>
        </w:tc>
      </w:tr>
      <w:tr w:rsidR="00370BA2" w:rsidRPr="00EF792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BA2" w:rsidRPr="00EF792C" w:rsidRDefault="00370BA2" w:rsidP="00370BA2">
            <w:pPr>
              <w:spacing w:after="0"/>
              <w:ind w:firstLine="0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EF792C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4.6.2.3.0.00 - GANHOS COM ALIENAÇÃO DE INTANGÍVEIS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0BA2" w:rsidRPr="00EF792C" w:rsidRDefault="00370BA2" w:rsidP="00370BA2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370BA2" w:rsidRPr="00EF792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BA2" w:rsidRPr="00EF792C" w:rsidRDefault="00370BA2" w:rsidP="00370BA2">
            <w:pPr>
              <w:spacing w:after="0"/>
              <w:ind w:firstLine="0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EF792C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4.6.2.9.0.00 - GANHOS COM ALIENAÇÃO DE DEMAIS ATIVOS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0BA2" w:rsidRPr="00EF792C" w:rsidRDefault="00370BA2" w:rsidP="00370BA2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370BA2" w:rsidRPr="00EF792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BA2" w:rsidRPr="00EF792C" w:rsidRDefault="00370BA2" w:rsidP="00370BA2">
            <w:pPr>
              <w:spacing w:after="0"/>
              <w:ind w:firstLine="0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EF792C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4.6.3.1.0.00 - GANHOS COM INCORPORAÇÃO DE ATIVOS POR DESCOBERTAS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0BA2" w:rsidRPr="00EF792C" w:rsidRDefault="00370BA2" w:rsidP="00370BA2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370BA2" w:rsidRPr="00EF792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BA2" w:rsidRPr="00EF792C" w:rsidRDefault="00370BA2" w:rsidP="00370BA2">
            <w:pPr>
              <w:spacing w:after="0"/>
              <w:ind w:firstLine="0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EF792C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4.6.3.2.0.00 - GANHOS COM INCORPORAÇÃO DE ATIVOS POR NASCIMENTOS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0BA2" w:rsidRPr="00EF792C" w:rsidRDefault="00370BA2" w:rsidP="00370BA2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370BA2" w:rsidRPr="00EF792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BA2" w:rsidRPr="00EF792C" w:rsidRDefault="00370BA2" w:rsidP="00370BA2">
            <w:pPr>
              <w:spacing w:after="0"/>
              <w:ind w:firstLine="0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EF792C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4.6.3.3.0.00 - GANHOS COM INCORPORAÇÃO DE ATIVOS APREENDIDOS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0BA2" w:rsidRPr="00EF792C" w:rsidRDefault="00370BA2" w:rsidP="00370BA2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370BA2" w:rsidRPr="00EF792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BA2" w:rsidRPr="00EF792C" w:rsidRDefault="00370BA2" w:rsidP="00370BA2">
            <w:pPr>
              <w:spacing w:after="0"/>
              <w:ind w:firstLine="0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EF792C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4.6.3.4.0.00 – GANHOS COM INCPORPORAÇÃO DE ATIVOS DE PRODUÇÃO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0BA2" w:rsidRPr="00EF792C" w:rsidRDefault="00370BA2" w:rsidP="00370BA2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370BA2" w:rsidRPr="00EF792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BA2" w:rsidRPr="00EF792C" w:rsidRDefault="00370BA2" w:rsidP="00370BA2">
            <w:pPr>
              <w:spacing w:after="0"/>
              <w:ind w:firstLine="0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EF792C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4.6.3.9.0.00 - OUTROS GANHOS COM INCORPORAÇÃO DE ATIVOS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0BA2" w:rsidRPr="00EF792C" w:rsidRDefault="00370BA2" w:rsidP="00370BA2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370BA2" w:rsidRPr="00EF792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BA2" w:rsidRPr="00EF792C" w:rsidRDefault="00370BA2" w:rsidP="00370BA2">
            <w:pPr>
              <w:spacing w:after="0"/>
              <w:ind w:firstLine="0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EF792C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4.6.5.1.0.00 - REVERSÃO DE REDUÇÃO A VALOR RECUPERÁVEL DE INVESTIMENTOS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0BA2" w:rsidRPr="00EF792C" w:rsidRDefault="00370BA2" w:rsidP="00370BA2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370BA2" w:rsidRPr="00EF792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BA2" w:rsidRPr="00EF792C" w:rsidRDefault="00370BA2" w:rsidP="00370BA2">
            <w:pPr>
              <w:spacing w:after="0"/>
              <w:ind w:firstLine="0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EF792C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4.6.5.2.0.00 - REVERSÃO DE REDUÇÃO A VALOR RECUPERÁVEL DE IMOBILIZADO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0BA2" w:rsidRPr="00EF792C" w:rsidRDefault="00370BA2" w:rsidP="00370BA2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370BA2" w:rsidRPr="00EF792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BA2" w:rsidRPr="00EF792C" w:rsidRDefault="00370BA2" w:rsidP="00370BA2">
            <w:pPr>
              <w:spacing w:after="0"/>
              <w:ind w:firstLine="0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EF792C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4.6.5.3.0.00 - REVERSÃO DE REDUÇÃO A VALOR RECUPERÁVEL DE INTANGÍVEIS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0BA2" w:rsidRPr="00EF792C" w:rsidRDefault="00370BA2" w:rsidP="00370BA2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370BA2" w:rsidRPr="00EF792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BA2" w:rsidRPr="00EF792C" w:rsidRDefault="00370BA2" w:rsidP="00370BA2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zh-CN"/>
              </w:rPr>
            </w:pPr>
            <w:r w:rsidRPr="00EF792C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zh-CN"/>
              </w:rPr>
              <w:t>Total das  v</w:t>
            </w:r>
            <w:r w:rsidRPr="00EF792C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t-BR"/>
              </w:rPr>
              <w:t>alorizações e ganhos com ativos e desincorporações de passivos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0BA2" w:rsidRPr="00EF792C" w:rsidRDefault="003B3F9E" w:rsidP="00370BA2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zh-CN"/>
              </w:rPr>
              <w:t>244.326,56</w:t>
            </w:r>
          </w:p>
        </w:tc>
      </w:tr>
    </w:tbl>
    <w:p w:rsidR="00370BA2" w:rsidRPr="00EF792C" w:rsidRDefault="00370BA2" w:rsidP="00370BA2">
      <w:pPr>
        <w:spacing w:after="0"/>
        <w:rPr>
          <w:rFonts w:ascii="Times New Roman" w:eastAsia="Times New Roman" w:hAnsi="Times New Roman"/>
          <w:b/>
          <w:bCs/>
          <w:sz w:val="22"/>
          <w:szCs w:val="22"/>
          <w:lang w:eastAsia="pt-BR"/>
        </w:rPr>
      </w:pPr>
    </w:p>
    <w:p w:rsidR="000A1CEA" w:rsidRPr="003B3F9E" w:rsidRDefault="00370BA2" w:rsidP="00370BA2">
      <w:pPr>
        <w:spacing w:after="0"/>
        <w:rPr>
          <w:rFonts w:ascii="Times New Roman" w:eastAsia="Times New Roman" w:hAnsi="Times New Roman"/>
          <w:b/>
          <w:sz w:val="22"/>
          <w:szCs w:val="22"/>
          <w:lang w:eastAsia="pt-BR"/>
        </w:rPr>
      </w:pPr>
      <w:r w:rsidRPr="00EF792C">
        <w:rPr>
          <w:rFonts w:ascii="Times New Roman" w:eastAsia="Times New Roman" w:hAnsi="Times New Roman"/>
          <w:b/>
          <w:bCs/>
          <w:sz w:val="22"/>
          <w:szCs w:val="22"/>
          <w:lang w:eastAsia="pt-BR"/>
        </w:rPr>
        <w:t>Nota 2 – Outras Variações Patrimoniais Aumentativas</w:t>
      </w:r>
      <w:r w:rsidRPr="00EF792C">
        <w:rPr>
          <w:rFonts w:ascii="Times New Roman" w:eastAsia="Times New Roman" w:hAnsi="Times New Roman"/>
          <w:sz w:val="22"/>
          <w:szCs w:val="22"/>
          <w:lang w:eastAsia="pt-BR"/>
        </w:rPr>
        <w:t>: compreende o somatório das demais variações patrimoniais aumentativas não incluídas nos grupos anteriores, tais como: resultado positivo da equivalência patrimonial, dividendos. Em 201</w:t>
      </w:r>
      <w:r w:rsidR="003B3F9E">
        <w:rPr>
          <w:rFonts w:ascii="Times New Roman" w:eastAsia="Times New Roman" w:hAnsi="Times New Roman"/>
          <w:sz w:val="22"/>
          <w:szCs w:val="22"/>
          <w:lang w:eastAsia="pt-BR"/>
        </w:rPr>
        <w:t>9</w:t>
      </w:r>
      <w:r w:rsidRPr="00EF792C">
        <w:rPr>
          <w:rFonts w:ascii="Times New Roman" w:eastAsia="Times New Roman" w:hAnsi="Times New Roman"/>
          <w:sz w:val="22"/>
          <w:szCs w:val="22"/>
          <w:lang w:eastAsia="pt-BR"/>
        </w:rPr>
        <w:t xml:space="preserve">, os registros nesse item </w:t>
      </w:r>
      <w:proofErr w:type="gramStart"/>
      <w:r w:rsidRPr="00EF792C">
        <w:rPr>
          <w:rFonts w:ascii="Times New Roman" w:eastAsia="Times New Roman" w:hAnsi="Times New Roman"/>
          <w:sz w:val="22"/>
          <w:szCs w:val="22"/>
          <w:lang w:eastAsia="pt-BR"/>
        </w:rPr>
        <w:t>somaram  R</w:t>
      </w:r>
      <w:proofErr w:type="gramEnd"/>
      <w:r w:rsidRPr="00EF792C">
        <w:rPr>
          <w:rFonts w:ascii="Times New Roman" w:eastAsia="Times New Roman" w:hAnsi="Times New Roman"/>
          <w:sz w:val="22"/>
          <w:szCs w:val="22"/>
          <w:lang w:eastAsia="pt-BR"/>
        </w:rPr>
        <w:t>$</w:t>
      </w:r>
      <w:r w:rsidR="003B3F9E">
        <w:rPr>
          <w:rFonts w:ascii="Times New Roman" w:eastAsia="Times New Roman" w:hAnsi="Times New Roman"/>
          <w:sz w:val="22"/>
          <w:szCs w:val="22"/>
          <w:lang w:eastAsia="pt-BR"/>
        </w:rPr>
        <w:t>5.917.721,57</w:t>
      </w:r>
      <w:r w:rsidRPr="00EF792C">
        <w:rPr>
          <w:rFonts w:ascii="Times New Roman" w:eastAsia="Times New Roman" w:hAnsi="Times New Roman"/>
          <w:sz w:val="22"/>
          <w:szCs w:val="22"/>
          <w:lang w:eastAsia="pt-BR"/>
        </w:rPr>
        <w:t xml:space="preserve">, </w:t>
      </w:r>
      <w:r w:rsidR="00AE2510" w:rsidRPr="00EF792C">
        <w:rPr>
          <w:rFonts w:ascii="Times New Roman" w:eastAsia="Times New Roman" w:hAnsi="Times New Roman"/>
          <w:sz w:val="22"/>
          <w:szCs w:val="22"/>
          <w:lang w:eastAsia="pt-BR"/>
        </w:rPr>
        <w:t xml:space="preserve">onde o valor mais expressivo trata da Compensação financeira entre os Regime Geral e Próprio da </w:t>
      </w:r>
      <w:proofErr w:type="spellStart"/>
      <w:r w:rsidR="00AE2510" w:rsidRPr="00EF792C">
        <w:rPr>
          <w:rFonts w:ascii="Times New Roman" w:eastAsia="Times New Roman" w:hAnsi="Times New Roman"/>
          <w:sz w:val="22"/>
          <w:szCs w:val="22"/>
          <w:lang w:eastAsia="pt-BR"/>
        </w:rPr>
        <w:t>Previdencia</w:t>
      </w:r>
      <w:proofErr w:type="spellEnd"/>
      <w:r w:rsidR="00AE2510" w:rsidRPr="00EF792C">
        <w:rPr>
          <w:rFonts w:ascii="Times New Roman" w:eastAsia="Times New Roman" w:hAnsi="Times New Roman"/>
          <w:sz w:val="22"/>
          <w:szCs w:val="22"/>
          <w:lang w:eastAsia="pt-BR"/>
        </w:rPr>
        <w:t>.</w:t>
      </w:r>
      <w:r w:rsidR="003B3F9E">
        <w:rPr>
          <w:rFonts w:ascii="Times New Roman" w:eastAsia="Times New Roman" w:hAnsi="Times New Roman"/>
          <w:sz w:val="22"/>
          <w:szCs w:val="22"/>
          <w:lang w:eastAsia="pt-BR"/>
        </w:rPr>
        <w:t xml:space="preserve"> </w:t>
      </w:r>
      <w:r w:rsidR="003B3F9E" w:rsidRPr="003B3F9E">
        <w:rPr>
          <w:rFonts w:ascii="Times New Roman" w:eastAsia="Times New Roman" w:hAnsi="Times New Roman"/>
          <w:b/>
          <w:sz w:val="22"/>
          <w:szCs w:val="22"/>
          <w:lang w:eastAsia="pt-BR"/>
        </w:rPr>
        <w:t xml:space="preserve">Cabe </w:t>
      </w:r>
      <w:r w:rsidR="003B3F9E">
        <w:rPr>
          <w:rFonts w:ascii="Times New Roman" w:eastAsia="Times New Roman" w:hAnsi="Times New Roman"/>
          <w:b/>
          <w:sz w:val="22"/>
          <w:szCs w:val="22"/>
          <w:lang w:eastAsia="pt-BR"/>
        </w:rPr>
        <w:t>Salientar que a</w:t>
      </w:r>
      <w:r w:rsidR="003B3F9E" w:rsidRPr="003B3F9E">
        <w:rPr>
          <w:rFonts w:ascii="Times New Roman" w:eastAsia="Times New Roman" w:hAnsi="Times New Roman"/>
          <w:b/>
          <w:sz w:val="22"/>
          <w:szCs w:val="22"/>
          <w:lang w:eastAsia="pt-BR"/>
        </w:rPr>
        <w:t xml:space="preserve"> Avaliação atuarial 2019 contabilizada junto ao encerramento do exercício, provocou saldos invertidos devido ao lançamentos propostos pelo Atuário </w:t>
      </w:r>
      <w:proofErr w:type="spellStart"/>
      <w:r w:rsidR="003B3F9E" w:rsidRPr="003B3F9E">
        <w:rPr>
          <w:rFonts w:ascii="Times New Roman" w:eastAsia="Times New Roman" w:hAnsi="Times New Roman"/>
          <w:b/>
          <w:sz w:val="22"/>
          <w:szCs w:val="22"/>
          <w:lang w:eastAsia="pt-BR"/>
        </w:rPr>
        <w:t>Sr</w:t>
      </w:r>
      <w:proofErr w:type="spellEnd"/>
      <w:r w:rsidR="003B3F9E" w:rsidRPr="003B3F9E">
        <w:rPr>
          <w:rFonts w:ascii="Times New Roman" w:eastAsia="Times New Roman" w:hAnsi="Times New Roman"/>
          <w:b/>
          <w:sz w:val="22"/>
          <w:szCs w:val="22"/>
          <w:lang w:eastAsia="pt-BR"/>
        </w:rPr>
        <w:t xml:space="preserve"> Guilherme Walter da Lumens Consultoria Atuarial, que explica dizendo: A conta totalizadora 22721 advém de lançamentos de todas as demais contas do grupo, quanto aos saldos invertidos esses decorrem do fato que o plano de amortização (redutor)é superior às próprias provisões matemáticas, o que decorrerá em uma conta 22721 negativa.</w:t>
      </w:r>
    </w:p>
    <w:p w:rsidR="00AE2510" w:rsidRPr="00EF792C" w:rsidRDefault="00AE2510" w:rsidP="00370BA2">
      <w:pPr>
        <w:spacing w:after="0"/>
        <w:rPr>
          <w:rFonts w:ascii="Times New Roman" w:eastAsia="Times New Roman" w:hAnsi="Times New Roman"/>
          <w:b/>
          <w:bCs/>
          <w:sz w:val="22"/>
          <w:szCs w:val="22"/>
          <w:lang w:eastAsia="pt-BR"/>
        </w:rPr>
      </w:pPr>
    </w:p>
    <w:p w:rsidR="00370BA2" w:rsidRPr="00EF792C" w:rsidRDefault="00370BA2" w:rsidP="00370BA2">
      <w:pPr>
        <w:spacing w:after="0"/>
        <w:rPr>
          <w:rFonts w:ascii="Times New Roman" w:eastAsia="Times New Roman" w:hAnsi="Times New Roman"/>
          <w:sz w:val="22"/>
          <w:szCs w:val="22"/>
          <w:lang w:eastAsia="pt-BR"/>
        </w:rPr>
      </w:pPr>
      <w:r w:rsidRPr="00EF792C">
        <w:rPr>
          <w:rFonts w:ascii="Times New Roman" w:eastAsia="Times New Roman" w:hAnsi="Times New Roman"/>
          <w:b/>
          <w:bCs/>
          <w:sz w:val="22"/>
          <w:szCs w:val="22"/>
          <w:lang w:eastAsia="pt-BR"/>
        </w:rPr>
        <w:t xml:space="preserve">Nota </w:t>
      </w:r>
      <w:r w:rsidR="00AE2510" w:rsidRPr="00EF792C">
        <w:rPr>
          <w:rFonts w:ascii="Times New Roman" w:eastAsia="Times New Roman" w:hAnsi="Times New Roman"/>
          <w:b/>
          <w:bCs/>
          <w:sz w:val="22"/>
          <w:szCs w:val="22"/>
          <w:lang w:eastAsia="pt-BR"/>
        </w:rPr>
        <w:t>3</w:t>
      </w:r>
      <w:r w:rsidRPr="00EF792C">
        <w:rPr>
          <w:rFonts w:ascii="Times New Roman" w:eastAsia="Times New Roman" w:hAnsi="Times New Roman"/>
          <w:b/>
          <w:bCs/>
          <w:sz w:val="22"/>
          <w:szCs w:val="22"/>
          <w:lang w:eastAsia="pt-BR"/>
        </w:rPr>
        <w:t xml:space="preserve"> – Outras Variações Patrimoniais Diminutivas: </w:t>
      </w:r>
      <w:r w:rsidRPr="00EF792C">
        <w:rPr>
          <w:rFonts w:ascii="Times New Roman" w:eastAsia="Times New Roman" w:hAnsi="Times New Roman"/>
          <w:sz w:val="22"/>
          <w:szCs w:val="22"/>
          <w:lang w:eastAsia="pt-BR"/>
        </w:rPr>
        <w:t>compreende o somatório das demais variações patrimoniais diminutivas não incluídas nos grupos anteriores, tais como: resultado negativo da equivalência patrimonial, dividendos. Em 201</w:t>
      </w:r>
      <w:r w:rsidR="003B3F9E">
        <w:rPr>
          <w:rFonts w:ascii="Times New Roman" w:eastAsia="Times New Roman" w:hAnsi="Times New Roman"/>
          <w:sz w:val="22"/>
          <w:szCs w:val="22"/>
          <w:lang w:eastAsia="pt-BR"/>
        </w:rPr>
        <w:t>9</w:t>
      </w:r>
      <w:r w:rsidRPr="00EF792C">
        <w:rPr>
          <w:rFonts w:ascii="Times New Roman" w:eastAsia="Times New Roman" w:hAnsi="Times New Roman"/>
          <w:sz w:val="22"/>
          <w:szCs w:val="22"/>
          <w:lang w:eastAsia="pt-BR"/>
        </w:rPr>
        <w:t xml:space="preserve">, os registros nesse item </w:t>
      </w:r>
      <w:proofErr w:type="gramStart"/>
      <w:r w:rsidRPr="00EF792C">
        <w:rPr>
          <w:rFonts w:ascii="Times New Roman" w:eastAsia="Times New Roman" w:hAnsi="Times New Roman"/>
          <w:sz w:val="22"/>
          <w:szCs w:val="22"/>
          <w:lang w:eastAsia="pt-BR"/>
        </w:rPr>
        <w:t>somaram  R</w:t>
      </w:r>
      <w:proofErr w:type="gramEnd"/>
      <w:r w:rsidRPr="00EF792C">
        <w:rPr>
          <w:rFonts w:ascii="Times New Roman" w:eastAsia="Times New Roman" w:hAnsi="Times New Roman"/>
          <w:sz w:val="22"/>
          <w:szCs w:val="22"/>
          <w:lang w:eastAsia="pt-BR"/>
        </w:rPr>
        <w:t>$</w:t>
      </w:r>
      <w:r w:rsidR="003B3F9E">
        <w:rPr>
          <w:rFonts w:ascii="Times New Roman" w:eastAsia="Times New Roman" w:hAnsi="Times New Roman"/>
          <w:sz w:val="22"/>
          <w:szCs w:val="22"/>
          <w:lang w:eastAsia="pt-BR"/>
        </w:rPr>
        <w:t>30.000</w:t>
      </w:r>
      <w:r w:rsidR="00AE2510" w:rsidRPr="00EF792C">
        <w:rPr>
          <w:rFonts w:ascii="Times New Roman" w:eastAsia="Times New Roman" w:hAnsi="Times New Roman"/>
          <w:sz w:val="22"/>
          <w:szCs w:val="22"/>
          <w:lang w:eastAsia="pt-BR"/>
        </w:rPr>
        <w:t>,00.</w:t>
      </w:r>
    </w:p>
    <w:p w:rsidR="00370BA2" w:rsidRPr="00EF792C" w:rsidRDefault="00370BA2" w:rsidP="00AE2510">
      <w:pPr>
        <w:spacing w:after="0"/>
        <w:ind w:firstLine="0"/>
        <w:rPr>
          <w:rFonts w:ascii="Times New Roman" w:eastAsia="Times New Roman" w:hAnsi="Times New Roman"/>
          <w:b/>
          <w:bCs/>
          <w:sz w:val="22"/>
          <w:szCs w:val="22"/>
          <w:lang w:eastAsia="pt-BR"/>
        </w:rPr>
      </w:pPr>
    </w:p>
    <w:p w:rsidR="00370BA2" w:rsidRPr="00EF792C" w:rsidRDefault="00370BA2" w:rsidP="00370BA2">
      <w:pPr>
        <w:spacing w:after="0"/>
        <w:rPr>
          <w:rFonts w:ascii="Times New Roman" w:eastAsia="Times New Roman" w:hAnsi="Times New Roman"/>
          <w:sz w:val="22"/>
          <w:szCs w:val="22"/>
          <w:lang w:eastAsia="pt-BR"/>
        </w:rPr>
      </w:pPr>
      <w:r w:rsidRPr="00EF792C">
        <w:rPr>
          <w:rFonts w:ascii="Times New Roman" w:eastAsia="Times New Roman" w:hAnsi="Times New Roman"/>
          <w:b/>
          <w:bCs/>
          <w:sz w:val="22"/>
          <w:szCs w:val="22"/>
          <w:lang w:eastAsia="pt-BR"/>
        </w:rPr>
        <w:t xml:space="preserve">Nota 5 – Resultado Patrimonial do Período: </w:t>
      </w:r>
      <w:r w:rsidRPr="00EF792C">
        <w:rPr>
          <w:rFonts w:ascii="Times New Roman" w:eastAsia="Times New Roman" w:hAnsi="Times New Roman"/>
          <w:sz w:val="22"/>
          <w:szCs w:val="22"/>
          <w:lang w:eastAsia="pt-BR"/>
        </w:rPr>
        <w:t xml:space="preserve">como resultado do confronto entre as Variações Patrimoniais Aumentativas e Diminutivas, tem-se que o resultado patrimonial foi </w:t>
      </w:r>
      <w:proofErr w:type="gramStart"/>
      <w:r w:rsidRPr="00EF792C">
        <w:rPr>
          <w:rFonts w:ascii="Times New Roman" w:eastAsia="Times New Roman" w:hAnsi="Times New Roman"/>
          <w:sz w:val="22"/>
          <w:szCs w:val="22"/>
          <w:lang w:eastAsia="pt-BR"/>
        </w:rPr>
        <w:t>positivo  de</w:t>
      </w:r>
      <w:proofErr w:type="gramEnd"/>
      <w:r w:rsidRPr="00EF792C">
        <w:rPr>
          <w:rFonts w:ascii="Times New Roman" w:eastAsia="Times New Roman" w:hAnsi="Times New Roman"/>
          <w:sz w:val="22"/>
          <w:szCs w:val="22"/>
          <w:lang w:eastAsia="pt-BR"/>
        </w:rPr>
        <w:t xml:space="preserve">  R$  </w:t>
      </w:r>
      <w:r w:rsidR="003B3F9E">
        <w:rPr>
          <w:rFonts w:ascii="Times New Roman" w:eastAsia="Times New Roman" w:hAnsi="Times New Roman"/>
          <w:sz w:val="22"/>
          <w:szCs w:val="22"/>
          <w:lang w:eastAsia="pt-BR"/>
        </w:rPr>
        <w:t>8.036.111,68</w:t>
      </w:r>
      <w:bookmarkStart w:id="1" w:name="_GoBack"/>
      <w:bookmarkEnd w:id="1"/>
      <w:r w:rsidRPr="00EF792C">
        <w:rPr>
          <w:rFonts w:ascii="Times New Roman" w:eastAsia="Times New Roman" w:hAnsi="Times New Roman"/>
          <w:sz w:val="22"/>
          <w:szCs w:val="22"/>
          <w:lang w:eastAsia="pt-BR"/>
        </w:rPr>
        <w:t xml:space="preserve">.  </w:t>
      </w:r>
    </w:p>
    <w:sectPr w:rsidR="00370BA2" w:rsidRPr="00EF792C">
      <w:pgSz w:w="11907" w:h="16840" w:code="9"/>
      <w:pgMar w:top="851" w:right="1134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applyBreakingRules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4C5D"/>
    <w:rsid w:val="00050CBA"/>
    <w:rsid w:val="000A1CEA"/>
    <w:rsid w:val="001601B0"/>
    <w:rsid w:val="003530B2"/>
    <w:rsid w:val="00370BA2"/>
    <w:rsid w:val="003B3F9E"/>
    <w:rsid w:val="00411653"/>
    <w:rsid w:val="00432C0C"/>
    <w:rsid w:val="00855062"/>
    <w:rsid w:val="008C1782"/>
    <w:rsid w:val="00AE2510"/>
    <w:rsid w:val="00AE4C5D"/>
    <w:rsid w:val="00EF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C4A8D8"/>
  <w15:chartTrackingRefBased/>
  <w15:docId w15:val="{FB5ECF4B-C0E8-4A13-B73D-6112A92A5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BA2"/>
    <w:pPr>
      <w:spacing w:after="160"/>
      <w:ind w:firstLine="567"/>
      <w:jc w:val="both"/>
    </w:pPr>
    <w:rPr>
      <w:rFonts w:ascii="Calibri" w:eastAsia="Calibri" w:hAnsi="Calibri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qFormat/>
    <w:rsid w:val="00370BA2"/>
    <w:pPr>
      <w:spacing w:after="60"/>
      <w:outlineLvl w:val="1"/>
    </w:pPr>
    <w:rPr>
      <w:rFonts w:eastAsia="Times New Roman"/>
      <w:b/>
    </w:rPr>
  </w:style>
  <w:style w:type="character" w:customStyle="1" w:styleId="SubttuloChar">
    <w:name w:val="Subtítulo Char"/>
    <w:link w:val="Subttulo"/>
    <w:rsid w:val="00370BA2"/>
    <w:rPr>
      <w:rFonts w:ascii="Calibri" w:hAnsi="Calibri"/>
      <w:b/>
      <w:sz w:val="24"/>
      <w:szCs w:val="24"/>
      <w:lang w:val="pt-B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442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INTERNACIONAL  VS    FIGUEIRENSE</vt:lpstr>
    </vt:vector>
  </TitlesOfParts>
  <Company>Default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INTERNACIONAL  VS    FIGUEIRENSE</dc:title>
  <dc:subject/>
  <dc:creator>Default</dc:creator>
  <cp:keywords/>
  <cp:lastModifiedBy>Usuário</cp:lastModifiedBy>
  <cp:revision>8</cp:revision>
  <dcterms:created xsi:type="dcterms:W3CDTF">2018-01-26T12:45:00Z</dcterms:created>
  <dcterms:modified xsi:type="dcterms:W3CDTF">2020-01-30T20:42:00Z</dcterms:modified>
</cp:coreProperties>
</file>