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7F576D">
        <w:rPr>
          <w:b/>
          <w:sz w:val="28"/>
          <w:szCs w:val="28"/>
        </w:rPr>
        <w:t>prestadores de serviços terceirizados</w:t>
      </w:r>
      <w:r>
        <w:rPr>
          <w:b/>
          <w:sz w:val="28"/>
          <w:szCs w:val="28"/>
        </w:rPr>
        <w:t>, no ano de 202</w:t>
      </w:r>
      <w:r w:rsidR="00E16ECE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6996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7F576D"/>
    <w:rsid w:val="008036A3"/>
    <w:rsid w:val="00B723BB"/>
    <w:rsid w:val="00E16ECE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8DFA7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F40B-8328-4856-B43F-ED965A1D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2</cp:revision>
  <cp:lastPrinted>2024-01-04T10:27:00Z</cp:lastPrinted>
  <dcterms:created xsi:type="dcterms:W3CDTF">2024-05-07T00:44:00Z</dcterms:created>
  <dcterms:modified xsi:type="dcterms:W3CDTF">2024-05-07T00:44:00Z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