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1"/>
        <w:rPr>
          <w:rFonts w:ascii="Times New Roman"/>
          <w:sz w:val="12"/>
        </w:rPr>
      </w:pPr>
    </w:p>
    <w:tbl>
      <w:tblPr>
        <w:tblW w:w="0" w:type="auto"/>
        <w:jc w:val="left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3"/>
        <w:gridCol w:w="5822"/>
        <w:gridCol w:w="2406"/>
      </w:tblGrid>
      <w:tr>
        <w:trPr>
          <w:trHeight w:val="183" w:hRule="atLeast"/>
        </w:trPr>
        <w:tc>
          <w:tcPr>
            <w:tcW w:w="1833" w:type="dxa"/>
          </w:tcPr>
          <w:p>
            <w:pPr>
              <w:pStyle w:val="TableParagraph"/>
              <w:spacing w:line="163" w:lineRule="exact" w:before="0"/>
              <w:ind w:left="50"/>
              <w:rPr>
                <w:sz w:val="16"/>
              </w:rPr>
            </w:pPr>
            <w:r>
              <w:rPr>
                <w:sz w:val="16"/>
              </w:rPr>
              <w:t>3.0.00.00.00.00.00.00</w:t>
            </w:r>
          </w:p>
        </w:tc>
        <w:tc>
          <w:tcPr>
            <w:tcW w:w="5822" w:type="dxa"/>
          </w:tcPr>
          <w:p>
            <w:pPr>
              <w:pStyle w:val="TableParagraph"/>
              <w:spacing w:line="163" w:lineRule="exact" w:before="0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</w:t>
            </w:r>
            <w:r>
              <w:rPr>
                <w:sz w:val="16"/>
              </w:rPr>
              <w:t>DESPESAS CORRENTES</w:t>
            </w:r>
          </w:p>
        </w:tc>
        <w:tc>
          <w:tcPr>
            <w:tcW w:w="2406" w:type="dxa"/>
          </w:tcPr>
          <w:p>
            <w:pPr>
              <w:pStyle w:val="TableParagraph"/>
              <w:spacing w:line="163" w:lineRule="exact" w:before="0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16.120.754,61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3.1.00.00.00.00.00.00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</w:t>
            </w:r>
            <w:r>
              <w:rPr>
                <w:sz w:val="16"/>
              </w:rPr>
              <w:t>PESSOAL E ENCARGOS SOCIAIS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8.156.297,78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3.1.71.00.00.00.00.00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Transf. a consórcios públicos por Contrato Rateio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9.211,50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3.1.71.70.00.00.00.00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Rateio a consórcios públicos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9.211,50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Aplicações Diretas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8.147.086,28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3.1.90.03.00.00.00.00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Pensões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30.015,20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3.1.90.04.00.00.00.00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Contratação Por Tempo Determinado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65.731,44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3.1.90.11.00.00.00.00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Vencimentos e Vantagens Fixas - Pessoal Civil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6.544.153,30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3.1.90.13.00.00.00.00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Obrigações Patronais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1.359.218,76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3.1.90.16.00.00.00.00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Outras Despesas Variaveis - Pessoal Civil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4.762,28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3.1.90.34.00.00.00.00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Outras Despesas de Contratos de Terceirização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6.000,00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3.1.90.47.00.00.00.00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Obrigações Tributária e Contributivas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1.042,30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3.1.90.91.00.00.00.00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Sentenças Judiciais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113.414,40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3.1.90.92.00.00.00.00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Despesas de Exercícios Anteriores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5.338,40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3.1.90.94.00.00.00.00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Indenizações Trabalhistas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17.410,20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3.2.00.00.00.00.00.00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</w:t>
            </w:r>
            <w:r>
              <w:rPr>
                <w:sz w:val="16"/>
              </w:rPr>
              <w:t>Juros e Encargos da Divida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53.859,55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3.2.90.00.00.00.00.00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Aplicações Diretas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53.859,55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3.2.90.21.00.00.00.00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Juros sobre a Dívida por Contrato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45.000,00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3.2.90.22.00.00.00.00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Outros Encargos Sobre a Divida por Contrato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8.859,55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3.3.00.00.00.00.00.00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</w:t>
            </w:r>
            <w:r>
              <w:rPr>
                <w:sz w:val="16"/>
              </w:rPr>
              <w:t>OUTRAS DESPESAS CORRENTES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7.910.597,28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3.3.20.00.00.00.00.00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Transferências a União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3.3.20.93.00.00.00.00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Indenizações e Restituições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3.3.30.00.00.00.00.00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Transferências a Estados e ao Distrito Federal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3.3.30.93.00.00.00.00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Indenizações e Restituições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3.3.50.00.00.00.00.00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Transf a Instituições Privadas sem Fins Lucrativos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92.897,13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3.3.50.41.00.00.00.00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Contribuições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61.956,53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3.3.50.43.00.00.00.00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Subvenções Sociais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30.940,60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3.3.71.00.00.00.00.00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Transf. a consórcios públicos por Contrato Rateio</w:t>
            </w:r>
            <w:r>
              <w:rPr>
                <w:w w:val="91"/>
                <w:sz w:val="16"/>
              </w:rPr>
              <w:t> 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10.253,80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3.3.71.70.00.00.00.00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Rateio pela participação de consórcios públicos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10.253,80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Aplicações Diretas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7.008.195,85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3.3.90.08.00.00.00.00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Outros Benef Assistenciais do Serv. e do Militar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195.320,68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3.3.90.13.00.00.00.00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Obrigações Patronais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3.126,90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3.3.90.14.00.00.00.00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Diárias - Pessoal Civil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222.834,15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Material de Consumo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2.125.167,54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Premiações Culturais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31.626,90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3.3.90.32.00.00.00.00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Material, Bem ou Serviço Para Dist. Gratuita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415.913,36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Passagens e Despesas com Locomoção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2.200,00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3.3.90.35.00.00.00.00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Serviços de Consultoria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108.580,30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3.3.90.36.00.00.00.00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OUTROS SERVICOS DE TERCEIROS - PESSOA FISICA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292.494,67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3.3.90.37.00.00.00.00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Locação de Mão-de-Obra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70.284,20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3.3.90.37.01.00.00.00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  </w:t>
            </w:r>
            <w:r>
              <w:rPr>
                <w:sz w:val="16"/>
              </w:rPr>
              <w:t>Apoio Administrativo, Técnico e Operacional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70.284,20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3.3.90.39.00.00.00.00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Outros Serviços de Terceiros - Pessoa Jurídica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2.942.525,35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3.3.90.40.00.00.00.00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Serviços de Tecn. da Informação e Comunicação PJ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244.500,00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3.3.90.46.00.00.00.00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Auxílio Alimentação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25.000,00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3.3.90.47.00.00.00.00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Obrigações Tributárias e Contributivas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147.160,60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3.3.90.48.00.00.00.00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Outros Auxilios Financeiros a Pessoas Fisicas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102.580,50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3.3.90.91.00.00.00.00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Sentencas Judiciais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6.042,30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3.3.90.92.00.00.00.00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Despesas de Exercícios Anteriores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30.338,40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3.3.90.93.00.00.00.00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Indenizacoes e Restituicoes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42.500,00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3.3.93.00.00.00.00.00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Aplicação Direta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799.248,50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3.3.93.30.00.00.00.00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Material de Consumo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100.000,00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3.3.93.32.00.00.00.00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Material, Bem ou Serviço para Distribuição Gratuit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70.864,50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3.3.93.39.00.00.00.00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Outros Serviços de Terceiros - PJ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628.384,00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4.0.00.00.00.00.00.00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</w:t>
            </w:r>
            <w:r>
              <w:rPr>
                <w:sz w:val="16"/>
              </w:rPr>
              <w:t>DESPESAS DE CAPITAL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1.529.465,89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4.4.00.00.00.00.00.00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</w:t>
            </w:r>
            <w:r>
              <w:rPr>
                <w:sz w:val="16"/>
              </w:rPr>
              <w:t>INVESTIMENTOS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1.366.303,16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4.4.20.00.00.00.00.00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Transferências a União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4.4.20.93.00.00.00.00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Indenizações e Restituições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4.4.30.00.00.00.00.00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Transferências a Estados e ao Distrito Federal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4.4.30.93.00.00.00.00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Indenizações e Restituições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4.4.90.00.00.00.00.00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Aplicações Diretas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1.366.301,16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4.4.90.51.00.00.00.00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Obras e Instalações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402.970,05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4.4.90.52.00.00.00.00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Equipamentos e Material Permanete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796.224,38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4.4.90.61.00.00.00.00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Aquisição de Imóveis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131.104,23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4.4.90.93.00.00.00.00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Indenizações e Restituições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36.002,50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4.4.90.93.01.00.00.00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  </w:t>
            </w:r>
            <w:r>
              <w:rPr>
                <w:sz w:val="16"/>
              </w:rPr>
              <w:t>Indenização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36.002,50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4.5.00.00.00.00.00.00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</w:t>
            </w:r>
            <w:r>
              <w:rPr>
                <w:sz w:val="16"/>
              </w:rPr>
              <w:t>Inversões Financeiras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8.162,73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4.5.90.00.00.00.00.00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Aplicações Diretas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8.162,73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4.5.90.61.00.00.00.00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Aquisição de Imóveis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2.105,23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4.5.90.62.00.00.00.00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Aquisição de Produtos para Revenda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6.057,50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4.6.00.00.00.00.00.00</w:t>
            </w:r>
          </w:p>
        </w:tc>
        <w:tc>
          <w:tcPr>
            <w:tcW w:w="5822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</w:t>
            </w:r>
            <w:r>
              <w:rPr>
                <w:sz w:val="16"/>
              </w:rPr>
              <w:t>Amortização da Dívida</w:t>
            </w:r>
          </w:p>
        </w:tc>
        <w:tc>
          <w:tcPr>
            <w:tcW w:w="2406" w:type="dxa"/>
          </w:tcPr>
          <w:p>
            <w:pPr>
              <w:pStyle w:val="TableParagraph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155.000,00</w:t>
            </w:r>
          </w:p>
        </w:tc>
      </w:tr>
      <w:tr>
        <w:trPr>
          <w:trHeight w:val="183" w:hRule="atLeast"/>
        </w:trPr>
        <w:tc>
          <w:tcPr>
            <w:tcW w:w="1833" w:type="dxa"/>
          </w:tcPr>
          <w:p>
            <w:pPr>
              <w:pStyle w:val="TableParagraph"/>
              <w:spacing w:line="161" w:lineRule="exact"/>
              <w:ind w:left="50"/>
              <w:rPr>
                <w:sz w:val="16"/>
              </w:rPr>
            </w:pPr>
            <w:r>
              <w:rPr>
                <w:sz w:val="16"/>
              </w:rPr>
              <w:t>4.6.90.00.00.00.00.00</w:t>
            </w:r>
          </w:p>
        </w:tc>
        <w:tc>
          <w:tcPr>
            <w:tcW w:w="5822" w:type="dxa"/>
          </w:tcPr>
          <w:p>
            <w:pPr>
              <w:pStyle w:val="TableParagraph"/>
              <w:spacing w:line="161" w:lineRule="exact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Aplicações Diretas</w:t>
            </w:r>
          </w:p>
        </w:tc>
        <w:tc>
          <w:tcPr>
            <w:tcW w:w="2406" w:type="dxa"/>
          </w:tcPr>
          <w:p>
            <w:pPr>
              <w:pStyle w:val="TableParagraph"/>
              <w:spacing w:line="161" w:lineRule="exact"/>
              <w:ind w:right="46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155.000,00</w:t>
            </w:r>
          </w:p>
        </w:tc>
      </w:tr>
    </w:tbl>
    <w:p>
      <w:pPr>
        <w:spacing w:after="0" w:line="161" w:lineRule="exact"/>
        <w:jc w:val="right"/>
        <w:rPr>
          <w:sz w:val="16"/>
        </w:rPr>
        <w:sectPr>
          <w:headerReference w:type="default" r:id="rId5"/>
          <w:type w:val="continuous"/>
          <w:pgSz w:w="11900" w:h="16840"/>
          <w:pgMar w:header="41" w:top="2040" w:bottom="0" w:left="0" w:right="1680"/>
          <w:pgNumType w:start="1"/>
        </w:sectPr>
      </w:pPr>
    </w:p>
    <w:p>
      <w:pPr>
        <w:pStyle w:val="BodyText"/>
        <w:spacing w:before="11"/>
        <w:rPr>
          <w:rFonts w:ascii="Times New Roman"/>
          <w:sz w:val="12"/>
        </w:rPr>
      </w:pPr>
    </w:p>
    <w:tbl>
      <w:tblPr>
        <w:tblW w:w="0" w:type="auto"/>
        <w:jc w:val="left"/>
        <w:tblInd w:w="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3"/>
        <w:gridCol w:w="4831"/>
        <w:gridCol w:w="2027"/>
        <w:gridCol w:w="1371"/>
      </w:tblGrid>
      <w:tr>
        <w:trPr>
          <w:trHeight w:val="183" w:hRule="atLeast"/>
        </w:trPr>
        <w:tc>
          <w:tcPr>
            <w:tcW w:w="1833" w:type="dxa"/>
          </w:tcPr>
          <w:p>
            <w:pPr>
              <w:pStyle w:val="TableParagraph"/>
              <w:spacing w:line="163" w:lineRule="exact" w:before="0"/>
              <w:ind w:left="50"/>
              <w:rPr>
                <w:sz w:val="16"/>
              </w:rPr>
            </w:pPr>
            <w:r>
              <w:rPr>
                <w:sz w:val="16"/>
              </w:rPr>
              <w:t>4.6.90.71.00.00.00.00</w:t>
            </w:r>
          </w:p>
        </w:tc>
        <w:tc>
          <w:tcPr>
            <w:tcW w:w="4831" w:type="dxa"/>
          </w:tcPr>
          <w:p>
            <w:pPr>
              <w:pStyle w:val="TableParagraph"/>
              <w:spacing w:line="163" w:lineRule="exact" w:before="0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Principal da Dívida Por Contrato</w:t>
            </w:r>
          </w:p>
        </w:tc>
        <w:tc>
          <w:tcPr>
            <w:tcW w:w="2027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71" w:type="dxa"/>
          </w:tcPr>
          <w:p>
            <w:pPr>
              <w:pStyle w:val="TableParagraph"/>
              <w:spacing w:line="163" w:lineRule="exact" w:before="0"/>
              <w:ind w:right="4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155.000,00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9.0.00.00.00.00.00.00</w:t>
            </w:r>
          </w:p>
        </w:tc>
        <w:tc>
          <w:tcPr>
            <w:tcW w:w="4831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</w:t>
            </w:r>
            <w:r>
              <w:rPr>
                <w:sz w:val="16"/>
              </w:rPr>
              <w:t>RESERVA DE CONTIGÊNCIA E RESERVA DO RPPS</w:t>
            </w:r>
          </w:p>
        </w:tc>
        <w:tc>
          <w:tcPr>
            <w:tcW w:w="202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71" w:type="dxa"/>
          </w:tcPr>
          <w:p>
            <w:pPr>
              <w:pStyle w:val="TableParagraph"/>
              <w:ind w:right="4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345.000,00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9.9.00.00.00.00.00.00</w:t>
            </w:r>
          </w:p>
        </w:tc>
        <w:tc>
          <w:tcPr>
            <w:tcW w:w="4831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</w:t>
            </w:r>
            <w:r>
              <w:rPr>
                <w:sz w:val="16"/>
              </w:rPr>
              <w:t>RESERVA DE CONTIGÊNCIA E RESERVA DO RPPS</w:t>
            </w:r>
          </w:p>
        </w:tc>
        <w:tc>
          <w:tcPr>
            <w:tcW w:w="202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71" w:type="dxa"/>
          </w:tcPr>
          <w:p>
            <w:pPr>
              <w:pStyle w:val="TableParagraph"/>
              <w:ind w:right="4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345.000,00</w:t>
            </w:r>
          </w:p>
        </w:tc>
      </w:tr>
      <w:tr>
        <w:trPr>
          <w:trHeight w:val="206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9.9.99.00.00.00.00.00</w:t>
            </w:r>
          </w:p>
        </w:tc>
        <w:tc>
          <w:tcPr>
            <w:tcW w:w="4831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</w:t>
            </w:r>
            <w:r>
              <w:rPr>
                <w:sz w:val="16"/>
              </w:rPr>
              <w:t>Reserva de Contigência e Reserva de RPPS</w:t>
            </w:r>
          </w:p>
        </w:tc>
        <w:tc>
          <w:tcPr>
            <w:tcW w:w="202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71" w:type="dxa"/>
          </w:tcPr>
          <w:p>
            <w:pPr>
              <w:pStyle w:val="TableParagraph"/>
              <w:ind w:right="4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345.000,00</w:t>
            </w:r>
          </w:p>
        </w:tc>
      </w:tr>
      <w:tr>
        <w:trPr>
          <w:trHeight w:val="217" w:hRule="atLeast"/>
        </w:trPr>
        <w:tc>
          <w:tcPr>
            <w:tcW w:w="1833" w:type="dxa"/>
          </w:tcPr>
          <w:p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9.9.99.99.00.00.00.00</w:t>
            </w:r>
          </w:p>
        </w:tc>
        <w:tc>
          <w:tcPr>
            <w:tcW w:w="4831" w:type="dxa"/>
          </w:tcPr>
          <w:p>
            <w:pPr>
              <w:pStyle w:val="TableParagraph"/>
              <w:ind w:left="389"/>
              <w:rPr>
                <w:sz w:val="16"/>
              </w:rPr>
            </w:pPr>
            <w:r>
              <w:rPr>
                <w:w w:val="91"/>
                <w:sz w:val="16"/>
              </w:rPr>
              <w:t>      </w:t>
            </w:r>
            <w:r>
              <w:rPr>
                <w:sz w:val="16"/>
              </w:rPr>
              <w:t>Reserva de Contigência e Reserva de RPPS</w:t>
            </w:r>
          </w:p>
        </w:tc>
        <w:tc>
          <w:tcPr>
            <w:tcW w:w="2027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71" w:type="dxa"/>
          </w:tcPr>
          <w:p>
            <w:pPr>
              <w:pStyle w:val="TableParagraph"/>
              <w:ind w:right="47"/>
              <w:jc w:val="right"/>
              <w:rPr>
                <w:sz w:val="16"/>
              </w:rPr>
            </w:pPr>
            <w:r>
              <w:rPr>
                <w:w w:val="90"/>
                <w:sz w:val="16"/>
              </w:rPr>
              <w:t>345.000,00</w:t>
            </w:r>
          </w:p>
        </w:tc>
      </w:tr>
      <w:tr>
        <w:trPr>
          <w:trHeight w:val="170" w:hRule="atLeast"/>
        </w:trPr>
        <w:tc>
          <w:tcPr>
            <w:tcW w:w="1833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831" w:type="dxa"/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027" w:type="dxa"/>
          </w:tcPr>
          <w:p>
            <w:pPr>
              <w:pStyle w:val="TableParagraph"/>
              <w:spacing w:line="131" w:lineRule="exact" w:before="19"/>
              <w:ind w:left="842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25"/>
                <w:sz w:val="13"/>
              </w:rPr>
              <w:t>Total geral:</w:t>
            </w:r>
          </w:p>
        </w:tc>
        <w:tc>
          <w:tcPr>
            <w:tcW w:w="1371" w:type="dxa"/>
          </w:tcPr>
          <w:p>
            <w:pPr>
              <w:pStyle w:val="TableParagraph"/>
              <w:spacing w:line="131" w:lineRule="exact" w:before="19"/>
              <w:ind w:right="47"/>
              <w:jc w:val="right"/>
              <w:rPr>
                <w:rFonts w:ascii="Microsoft Sans Serif"/>
                <w:sz w:val="13"/>
              </w:rPr>
            </w:pPr>
            <w:r>
              <w:rPr>
                <w:rFonts w:ascii="Microsoft Sans Serif"/>
                <w:w w:val="110"/>
                <w:sz w:val="13"/>
              </w:rPr>
              <w:t>17.995.220,50</w:t>
            </w:r>
          </w:p>
        </w:tc>
      </w:tr>
    </w:tbl>
    <w:sectPr>
      <w:pgSz w:w="11900" w:h="16840"/>
      <w:pgMar w:header="41" w:footer="0" w:top="2040" w:bottom="280" w:left="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2444672" from=".719922pt,101.87999pt" to="503.520007pt,101.87999pt" stroked="true" strokeweight=".72pt" strokecolor="#000000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47.559998pt;margin-top:1.051327pt;width:57pt;height:21.55pt;mso-position-horizontal-relative:page;mso-position-vertical-relative:page;z-index:-252443648" type="#_x0000_t202" filled="false" stroked="false">
          <v:textbox inset="0,0,0,0">
            <w:txbxContent>
              <w:p>
                <w:pPr>
                  <w:spacing w:line="300" w:lineRule="auto" w:before="0"/>
                  <w:ind w:left="20" w:right="-5" w:firstLine="374"/>
                  <w:jc w:val="left"/>
                  <w:rPr>
                    <w:sz w:val="16"/>
                  </w:rPr>
                </w:pPr>
                <w:r>
                  <w:rPr>
                    <w:w w:val="90"/>
                    <w:sz w:val="16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  <w:sz w:val="16"/>
                  </w:rPr>
                  <w:t>/2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591061pt;width:312.6pt;height:61.65pt;mso-position-horizontal-relative:page;mso-position-vertical-relative:page;z-index:-252442624" type="#_x0000_t202" filled="false" stroked="false">
          <v:textbox inset="0,0,0,0">
            <w:txbxContent>
              <w:p>
                <w:pPr>
                  <w:spacing w:line="388" w:lineRule="auto" w:before="28"/>
                  <w:ind w:left="20" w:right="2017" w:firstLine="0"/>
                  <w:jc w:val="left"/>
                  <w:rPr>
                    <w:sz w:val="16"/>
                  </w:rPr>
                </w:pPr>
                <w:r>
                  <w:rPr>
                    <w:w w:val="145"/>
                    <w:sz w:val="16"/>
                  </w:rPr>
                  <w:t>Natureza Jurídica não encontrada </w:t>
                </w:r>
                <w:r>
                  <w:rPr>
                    <w:w w:val="140"/>
                    <w:sz w:val="16"/>
                  </w:rPr>
                  <w:t>PREFEITURA</w:t>
                </w:r>
                <w:r>
                  <w:rPr>
                    <w:spacing w:val="-42"/>
                    <w:w w:val="140"/>
                    <w:sz w:val="16"/>
                  </w:rPr>
                  <w:t> </w:t>
                </w:r>
                <w:r>
                  <w:rPr>
                    <w:w w:val="140"/>
                    <w:sz w:val="16"/>
                  </w:rPr>
                  <w:t>MUNICIPAL</w:t>
                </w:r>
                <w:r>
                  <w:rPr>
                    <w:spacing w:val="-41"/>
                    <w:w w:val="140"/>
                    <w:sz w:val="16"/>
                  </w:rPr>
                  <w:t> </w:t>
                </w:r>
                <w:r>
                  <w:rPr>
                    <w:w w:val="140"/>
                    <w:sz w:val="16"/>
                  </w:rPr>
                  <w:t>DE</w:t>
                </w:r>
                <w:r>
                  <w:rPr>
                    <w:spacing w:val="-41"/>
                    <w:w w:val="140"/>
                    <w:sz w:val="16"/>
                  </w:rPr>
                  <w:t> </w:t>
                </w:r>
                <w:r>
                  <w:rPr>
                    <w:w w:val="140"/>
                    <w:sz w:val="16"/>
                  </w:rPr>
                  <w:t>INHACORA</w:t>
                </w:r>
              </w:p>
              <w:p>
                <w:pPr>
                  <w:pStyle w:val="BodyText"/>
                  <w:spacing w:line="161" w:lineRule="exact"/>
                  <w:ind w:left="20"/>
                </w:pPr>
                <w:r>
                  <w:rPr/>
                  <w:t>LEI ORÇAMENTÁRIA ANUAL 2021</w:t>
                </w:r>
              </w:p>
              <w:p>
                <w:pPr>
                  <w:pStyle w:val="BodyText"/>
                  <w:spacing w:before="43"/>
                  <w:ind w:left="20"/>
                </w:pPr>
                <w:r>
                  <w:rPr>
                    <w:w w:val="95"/>
                  </w:rPr>
                  <w:t>Quadro</w:t>
                </w:r>
                <w:r>
                  <w:rPr>
                    <w:spacing w:val="-14"/>
                    <w:w w:val="95"/>
                  </w:rPr>
                  <w:t> </w:t>
                </w:r>
                <w:r>
                  <w:rPr>
                    <w:w w:val="95"/>
                  </w:rPr>
                  <w:t>Discriminativo</w:t>
                </w:r>
                <w:r>
                  <w:rPr>
                    <w:spacing w:val="-13"/>
                    <w:w w:val="95"/>
                  </w:rPr>
                  <w:t> </w:t>
                </w:r>
                <w:r>
                  <w:rPr>
                    <w:w w:val="95"/>
                  </w:rPr>
                  <w:t>das</w:t>
                </w:r>
                <w:r>
                  <w:rPr>
                    <w:spacing w:val="-13"/>
                    <w:w w:val="95"/>
                  </w:rPr>
                  <w:t> </w:t>
                </w:r>
                <w:r>
                  <w:rPr>
                    <w:w w:val="95"/>
                  </w:rPr>
                  <w:t>Despesas</w:t>
                </w:r>
                <w:r>
                  <w:rPr>
                    <w:spacing w:val="-14"/>
                    <w:w w:val="95"/>
                  </w:rPr>
                  <w:t> </w:t>
                </w:r>
                <w:r>
                  <w:rPr>
                    <w:w w:val="95"/>
                  </w:rPr>
                  <w:t>e</w:t>
                </w:r>
                <w:r>
                  <w:rPr>
                    <w:spacing w:val="-13"/>
                    <w:w w:val="95"/>
                  </w:rPr>
                  <w:t> </w:t>
                </w:r>
                <w:r>
                  <w:rPr>
                    <w:w w:val="95"/>
                  </w:rPr>
                  <w:t>Respectivas</w:t>
                </w:r>
                <w:r>
                  <w:rPr>
                    <w:spacing w:val="-13"/>
                    <w:w w:val="95"/>
                  </w:rPr>
                  <w:t> </w:t>
                </w:r>
                <w:r>
                  <w:rPr>
                    <w:w w:val="95"/>
                  </w:rPr>
                  <w:t>Legislações</w:t>
                </w:r>
                <w:r>
                  <w:rPr>
                    <w:spacing w:val="-14"/>
                    <w:w w:val="95"/>
                  </w:rPr>
                  <w:t> </w:t>
                </w:r>
                <w:r>
                  <w:rPr>
                    <w:w w:val="95"/>
                  </w:rPr>
                  <w:t>-</w:t>
                </w:r>
                <w:r>
                  <w:rPr>
                    <w:spacing w:val="-13"/>
                    <w:w w:val="95"/>
                  </w:rPr>
                  <w:t> </w:t>
                </w:r>
                <w:r>
                  <w:rPr>
                    <w:w w:val="95"/>
                  </w:rPr>
                  <w:t>Consolidada</w:t>
                </w:r>
              </w:p>
              <w:p>
                <w:pPr>
                  <w:spacing w:before="49"/>
                  <w:ind w:left="20" w:right="0" w:firstLine="0"/>
                  <w:jc w:val="left"/>
                  <w:rPr>
                    <w:sz w:val="10"/>
                  </w:rPr>
                </w:pPr>
                <w:r>
                  <w:rPr>
                    <w:w w:val="110"/>
                    <w:sz w:val="10"/>
                  </w:rPr>
                  <w:t>Seleção: Emitir somente as contas com valor</w:t>
                </w:r>
              </w:p>
            </w:txbxContent>
          </v:textbox>
          <w10:wrap type="none"/>
        </v:shape>
      </w:pict>
    </w:r>
    <w:r>
      <w:rPr/>
      <w:pict>
        <v:shape style="position:absolute;margin-left:.31992pt;margin-top:89.969231pt;width:22.4pt;height:8.85pt;mso-position-horizontal-relative:page;mso-position-vertical-relative:page;z-index:-252441600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Microsoft Sans Serif"/>
                    <w:sz w:val="13"/>
                  </w:rPr>
                </w:pPr>
                <w:r>
                  <w:rPr>
                    <w:rFonts w:ascii="Microsoft Sans Serif"/>
                    <w:w w:val="120"/>
                    <w:sz w:val="13"/>
                  </w:rPr>
                  <w:t>Conta</w:t>
                </w:r>
              </w:p>
            </w:txbxContent>
          </v:textbox>
          <w10:wrap type="none"/>
        </v:shape>
      </w:pict>
    </w:r>
    <w:r>
      <w:rPr/>
      <w:pict>
        <v:shape style="position:absolute;margin-left:110.360001pt;margin-top:89.969231pt;width:36.2pt;height:8.85pt;mso-position-horizontal-relative:page;mso-position-vertical-relative:page;z-index:-252440576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Microsoft Sans Serif" w:hAnsi="Microsoft Sans Serif"/>
                    <w:sz w:val="13"/>
                  </w:rPr>
                </w:pPr>
                <w:r>
                  <w:rPr>
                    <w:rFonts w:ascii="Microsoft Sans Serif" w:hAnsi="Microsoft Sans Serif"/>
                    <w:w w:val="120"/>
                    <w:sz w:val="13"/>
                  </w:rPr>
                  <w:t>Descrição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47.440002pt;margin-top:89.969231pt;width:54.45pt;height:8.85pt;mso-position-horizontal-relative:page;mso-position-vertical-relative:page;z-index:-252439552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Microsoft Sans Serif"/>
                    <w:sz w:val="13"/>
                  </w:rPr>
                </w:pPr>
                <w:r>
                  <w:rPr>
                    <w:rFonts w:ascii="Microsoft Sans Serif"/>
                    <w:w w:val="120"/>
                    <w:sz w:val="13"/>
                  </w:rPr>
                  <w:t>Valor Estimado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2"/>
    </w:pPr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Quadro Discriminati</dc:title>
  <dcterms:created xsi:type="dcterms:W3CDTF">2021-01-06T01:40:46Z</dcterms:created>
  <dcterms:modified xsi:type="dcterms:W3CDTF">2021-01-06T01:40:46Z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